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D4306" w14:textId="77777777" w:rsidR="00744C7E" w:rsidRPr="00744C7E" w:rsidRDefault="00744C7E" w:rsidP="00744C7E">
      <w:pPr>
        <w:keepNext/>
        <w:spacing w:after="60" w:line="240" w:lineRule="auto"/>
        <w:jc w:val="both"/>
        <w:outlineLvl w:val="0"/>
        <w:rPr>
          <w:rFonts w:ascii="Arial" w:eastAsia="Times New Roman" w:hAnsi="Arial" w:cs="Times New Roman"/>
          <w:b/>
          <w:snapToGrid w:val="0"/>
          <w:kern w:val="28"/>
          <w:sz w:val="24"/>
          <w:szCs w:val="20"/>
          <w:lang w:val="x-none" w:eastAsia="x-none"/>
        </w:rPr>
      </w:pPr>
      <w:r w:rsidRPr="00744C7E">
        <w:rPr>
          <w:rFonts w:ascii="Arial" w:eastAsia="Times New Roman" w:hAnsi="Arial" w:cs="Times New Roman"/>
          <w:b/>
          <w:snapToGrid w:val="0"/>
          <w:kern w:val="28"/>
          <w:sz w:val="24"/>
          <w:szCs w:val="20"/>
          <w:lang w:val="x-none" w:eastAsia="x-none"/>
        </w:rPr>
        <w:t xml:space="preserve">8. Management of acute illness in children on Hydrocortisone Replacement therapy (e.g. Addison’s disease, </w:t>
      </w:r>
      <w:proofErr w:type="spellStart"/>
      <w:r w:rsidRPr="00744C7E">
        <w:rPr>
          <w:rFonts w:ascii="Arial" w:eastAsia="Times New Roman" w:hAnsi="Arial" w:cs="Times New Roman"/>
          <w:b/>
          <w:snapToGrid w:val="0"/>
          <w:kern w:val="28"/>
          <w:sz w:val="24"/>
          <w:szCs w:val="20"/>
          <w:lang w:val="x-none" w:eastAsia="x-none"/>
        </w:rPr>
        <w:t>Panhypopituitarism</w:t>
      </w:r>
      <w:proofErr w:type="spellEnd"/>
      <w:r w:rsidRPr="00744C7E">
        <w:rPr>
          <w:rFonts w:ascii="Arial" w:eastAsia="Times New Roman" w:hAnsi="Arial" w:cs="Times New Roman"/>
          <w:b/>
          <w:snapToGrid w:val="0"/>
          <w:kern w:val="28"/>
          <w:sz w:val="24"/>
          <w:szCs w:val="20"/>
          <w:lang w:val="x-none" w:eastAsia="x-none"/>
        </w:rPr>
        <w:t>, Congenital Adrenal Hyperplasia)</w:t>
      </w:r>
    </w:p>
    <w:p w14:paraId="54A11153" w14:textId="77777777" w:rsidR="00744C7E" w:rsidRPr="00744C7E" w:rsidRDefault="00744C7E" w:rsidP="00744C7E">
      <w:pPr>
        <w:keepNext/>
        <w:tabs>
          <w:tab w:val="left" w:pos="709"/>
        </w:tabs>
        <w:spacing w:after="60" w:line="240" w:lineRule="auto"/>
        <w:outlineLvl w:val="1"/>
        <w:rPr>
          <w:rFonts w:ascii="Arial" w:eastAsia="Times New Roman" w:hAnsi="Arial" w:cs="Times New Roman"/>
          <w:b/>
          <w:sz w:val="24"/>
          <w:szCs w:val="20"/>
          <w:lang w:val="x-none" w:eastAsia="x-none"/>
        </w:rPr>
      </w:pPr>
      <w:r w:rsidRPr="00744C7E">
        <w:rPr>
          <w:rFonts w:ascii="Arial" w:eastAsia="Times New Roman" w:hAnsi="Arial" w:cs="Times New Roman"/>
          <w:b/>
          <w:sz w:val="24"/>
          <w:szCs w:val="20"/>
          <w:lang w:val="x-none" w:eastAsia="x-none"/>
        </w:rPr>
        <w:t>1</w:t>
      </w:r>
      <w:r w:rsidRPr="00744C7E">
        <w:rPr>
          <w:rFonts w:ascii="Arial" w:eastAsia="Times New Roman" w:hAnsi="Arial" w:cs="Times New Roman"/>
          <w:b/>
          <w:sz w:val="24"/>
          <w:szCs w:val="20"/>
          <w:lang w:val="x-none" w:eastAsia="x-none"/>
        </w:rPr>
        <w:tab/>
        <w:t>Mild illness</w:t>
      </w:r>
    </w:p>
    <w:p w14:paraId="42227651" w14:textId="77777777" w:rsidR="00744C7E" w:rsidRPr="00744C7E" w:rsidRDefault="00744C7E" w:rsidP="00744C7E">
      <w:pPr>
        <w:spacing w:before="100" w:after="100" w:line="240" w:lineRule="auto"/>
        <w:jc w:val="both"/>
        <w:rPr>
          <w:rFonts w:ascii="Arial" w:eastAsia="Times New Roman" w:hAnsi="Arial" w:cs="Times New Roman"/>
          <w:sz w:val="24"/>
          <w:szCs w:val="20"/>
          <w:lang w:eastAsia="en-GB"/>
        </w:rPr>
      </w:pPr>
      <w:r w:rsidRPr="00744C7E">
        <w:rPr>
          <w:rFonts w:ascii="Arial" w:eastAsia="Times New Roman" w:hAnsi="Arial" w:cs="Times New Roman"/>
          <w:sz w:val="24"/>
          <w:szCs w:val="20"/>
          <w:lang w:eastAsia="en-GB"/>
        </w:rPr>
        <w:t xml:space="preserve">If the child has an </w:t>
      </w:r>
      <w:proofErr w:type="spellStart"/>
      <w:r w:rsidRPr="00744C7E">
        <w:rPr>
          <w:rFonts w:ascii="Arial" w:eastAsia="Times New Roman" w:hAnsi="Arial" w:cs="Times New Roman"/>
          <w:sz w:val="24"/>
          <w:szCs w:val="20"/>
          <w:lang w:eastAsia="en-GB"/>
        </w:rPr>
        <w:t>intercurrent</w:t>
      </w:r>
      <w:proofErr w:type="spellEnd"/>
      <w:r w:rsidRPr="00744C7E">
        <w:rPr>
          <w:rFonts w:ascii="Arial" w:eastAsia="Times New Roman" w:hAnsi="Arial" w:cs="Times New Roman"/>
          <w:sz w:val="24"/>
          <w:szCs w:val="20"/>
          <w:lang w:eastAsia="en-GB"/>
        </w:rPr>
        <w:t xml:space="preserve"> illness but is well, feeding and playing normally, then no change in dosage is required.</w:t>
      </w:r>
    </w:p>
    <w:p w14:paraId="3F21E11C" w14:textId="77777777" w:rsidR="00744C7E" w:rsidRPr="00744C7E" w:rsidRDefault="00744C7E" w:rsidP="00744C7E">
      <w:pPr>
        <w:keepNext/>
        <w:tabs>
          <w:tab w:val="left" w:pos="709"/>
        </w:tabs>
        <w:spacing w:after="60" w:line="240" w:lineRule="auto"/>
        <w:outlineLvl w:val="1"/>
        <w:rPr>
          <w:rFonts w:ascii="Arial" w:eastAsia="Times New Roman" w:hAnsi="Arial" w:cs="Times New Roman"/>
          <w:b/>
          <w:sz w:val="24"/>
          <w:szCs w:val="20"/>
          <w:lang w:val="x-none" w:eastAsia="x-none"/>
        </w:rPr>
      </w:pPr>
      <w:r w:rsidRPr="00744C7E">
        <w:rPr>
          <w:rFonts w:ascii="Arial" w:eastAsia="Times New Roman" w:hAnsi="Arial" w:cs="Times New Roman"/>
          <w:b/>
          <w:sz w:val="24"/>
          <w:szCs w:val="20"/>
          <w:lang w:val="x-none" w:eastAsia="x-none"/>
        </w:rPr>
        <w:t>2</w:t>
      </w:r>
      <w:r w:rsidRPr="00744C7E">
        <w:rPr>
          <w:rFonts w:ascii="Arial" w:eastAsia="Times New Roman" w:hAnsi="Arial" w:cs="Times New Roman"/>
          <w:b/>
          <w:sz w:val="24"/>
          <w:szCs w:val="20"/>
          <w:lang w:val="x-none" w:eastAsia="x-none"/>
        </w:rPr>
        <w:tab/>
        <w:t>Moderate illness</w:t>
      </w:r>
    </w:p>
    <w:p w14:paraId="11C5C74A" w14:textId="77777777" w:rsidR="00744C7E" w:rsidRPr="00744C7E" w:rsidRDefault="00744C7E" w:rsidP="00744C7E">
      <w:pPr>
        <w:spacing w:before="100" w:after="100" w:line="240" w:lineRule="auto"/>
        <w:jc w:val="both"/>
        <w:rPr>
          <w:rFonts w:ascii="Arial" w:eastAsia="Times New Roman" w:hAnsi="Arial" w:cs="Times New Roman"/>
          <w:b/>
          <w:sz w:val="24"/>
          <w:szCs w:val="20"/>
          <w:lang w:eastAsia="en-GB"/>
        </w:rPr>
      </w:pPr>
      <w:r w:rsidRPr="00744C7E">
        <w:rPr>
          <w:rFonts w:ascii="Arial" w:eastAsia="Times New Roman" w:hAnsi="Arial" w:cs="Times New Roman"/>
          <w:sz w:val="24"/>
          <w:szCs w:val="20"/>
          <w:lang w:eastAsia="en-GB"/>
        </w:rPr>
        <w:t xml:space="preserve">If the child is unwell, with fever, reduced activity, etc. then </w:t>
      </w:r>
      <w:r w:rsidRPr="00744C7E">
        <w:rPr>
          <w:rFonts w:ascii="Arial" w:eastAsia="Times New Roman" w:hAnsi="Arial" w:cs="Times New Roman"/>
          <w:b/>
          <w:sz w:val="24"/>
          <w:szCs w:val="20"/>
          <w:lang w:eastAsia="en-GB"/>
        </w:rPr>
        <w:t xml:space="preserve">the total daily oral dose should be doubled (or increased 3-fold if more unwell) and given in three equally divided doses throughout the day </w:t>
      </w:r>
    </w:p>
    <w:p w14:paraId="6B7B2CBC" w14:textId="77777777" w:rsidR="00744C7E" w:rsidRPr="00744C7E" w:rsidRDefault="00744C7E" w:rsidP="00744C7E">
      <w:pPr>
        <w:keepNext/>
        <w:tabs>
          <w:tab w:val="left" w:pos="709"/>
        </w:tabs>
        <w:spacing w:after="60" w:line="240" w:lineRule="auto"/>
        <w:outlineLvl w:val="1"/>
        <w:rPr>
          <w:rFonts w:ascii="Arial" w:eastAsia="Times New Roman" w:hAnsi="Arial" w:cs="Times New Roman"/>
          <w:b/>
          <w:sz w:val="24"/>
          <w:szCs w:val="20"/>
          <w:lang w:val="x-none" w:eastAsia="x-none"/>
        </w:rPr>
      </w:pPr>
      <w:r w:rsidRPr="00744C7E">
        <w:rPr>
          <w:rFonts w:ascii="Arial" w:eastAsia="Times New Roman" w:hAnsi="Arial" w:cs="Times New Roman"/>
          <w:b/>
          <w:sz w:val="24"/>
          <w:szCs w:val="20"/>
          <w:lang w:val="x-none" w:eastAsia="x-none"/>
        </w:rPr>
        <w:t>3</w:t>
      </w:r>
      <w:r w:rsidRPr="00744C7E">
        <w:rPr>
          <w:rFonts w:ascii="Arial" w:eastAsia="Times New Roman" w:hAnsi="Arial" w:cs="Times New Roman"/>
          <w:b/>
          <w:sz w:val="24"/>
          <w:szCs w:val="20"/>
          <w:lang w:val="x-none" w:eastAsia="x-none"/>
        </w:rPr>
        <w:tab/>
        <w:t>Unwell child or not tolerating oral Hydrocortisone</w:t>
      </w:r>
    </w:p>
    <w:p w14:paraId="6F7013BE" w14:textId="77777777" w:rsidR="00744C7E" w:rsidRPr="00744C7E" w:rsidRDefault="00744C7E" w:rsidP="00744C7E">
      <w:pPr>
        <w:spacing w:before="100" w:after="100" w:line="240" w:lineRule="auto"/>
        <w:jc w:val="both"/>
        <w:rPr>
          <w:rFonts w:ascii="Arial" w:eastAsia="Times New Roman" w:hAnsi="Arial" w:cs="Times New Roman"/>
          <w:sz w:val="24"/>
          <w:szCs w:val="20"/>
          <w:lang w:eastAsia="en-GB"/>
        </w:rPr>
      </w:pPr>
      <w:r w:rsidRPr="00744C7E">
        <w:rPr>
          <w:rFonts w:ascii="Arial" w:eastAsia="Times New Roman" w:hAnsi="Arial" w:cs="Times New Roman"/>
          <w:sz w:val="24"/>
          <w:szCs w:val="20"/>
          <w:lang w:eastAsia="en-GB"/>
        </w:rPr>
        <w:t>These children need to be seen immediately and the following steps should be followed:</w:t>
      </w:r>
      <w:r w:rsidRPr="00744C7E">
        <w:rPr>
          <w:rFonts w:ascii="Arial" w:eastAsia="Times New Roman" w:hAnsi="Arial" w:cs="Arial"/>
          <w:sz w:val="24"/>
          <w:szCs w:val="20"/>
          <w:lang w:eastAsia="en-GB"/>
        </w:rPr>
        <w:t xml:space="preserve"> CHECK AND FOLLOW THE INSTRUCTIONS ON THE PATIENT’S STEROID CARD</w:t>
      </w:r>
    </w:p>
    <w:p w14:paraId="39B24C25" w14:textId="77777777" w:rsidR="00744C7E" w:rsidRPr="00744C7E" w:rsidRDefault="00744C7E" w:rsidP="00744C7E">
      <w:pPr>
        <w:spacing w:before="100" w:after="100" w:line="240" w:lineRule="auto"/>
        <w:jc w:val="both"/>
        <w:rPr>
          <w:rFonts w:ascii="Arial" w:eastAsia="Times New Roman" w:hAnsi="Arial" w:cs="Times New Roman"/>
          <w:sz w:val="24"/>
          <w:szCs w:val="20"/>
          <w:lang w:eastAsia="en-GB"/>
        </w:rPr>
      </w:pPr>
    </w:p>
    <w:p w14:paraId="0820057B" w14:textId="77777777" w:rsidR="00744C7E" w:rsidRPr="00744C7E" w:rsidRDefault="00744C7E" w:rsidP="00744C7E">
      <w:pPr>
        <w:spacing w:after="0" w:line="240" w:lineRule="auto"/>
        <w:jc w:val="both"/>
        <w:rPr>
          <w:rFonts w:ascii="Arial" w:eastAsia="Times New Roman" w:hAnsi="Arial" w:cs="Arial"/>
          <w:snapToGrid w:val="0"/>
          <w:sz w:val="24"/>
          <w:szCs w:val="24"/>
          <w:lang w:val="x-none" w:eastAsia="x-none"/>
        </w:rPr>
      </w:pPr>
      <w:r w:rsidRPr="00744C7E">
        <w:rPr>
          <w:rFonts w:ascii="Arial" w:eastAsia="Times New Roman" w:hAnsi="Arial" w:cs="Arial"/>
          <w:snapToGrid w:val="0"/>
          <w:sz w:val="24"/>
          <w:szCs w:val="24"/>
          <w:lang w:val="x-none" w:eastAsia="x-none"/>
        </w:rPr>
        <w:t>Instructions for admitting doctor:</w:t>
      </w:r>
    </w:p>
    <w:p w14:paraId="4F7EF196"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w:t>
      </w:r>
    </w:p>
    <w:p w14:paraId="5406E048"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Insert IV cannula</w:t>
      </w:r>
    </w:p>
    <w:p w14:paraId="26D70D5D"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Take blood for U+E’s, blood glucose and where necessary perform any other appropriate tests such as blood cultures.</w:t>
      </w:r>
    </w:p>
    <w:p w14:paraId="23286F25"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 xml:space="preserve">Check BM </w:t>
      </w:r>
      <w:proofErr w:type="spellStart"/>
      <w:r w:rsidRPr="00744C7E">
        <w:rPr>
          <w:rFonts w:ascii="Arial" w:eastAsia="Times New Roman" w:hAnsi="Arial" w:cs="Arial"/>
          <w:sz w:val="24"/>
          <w:szCs w:val="20"/>
          <w:lang w:eastAsia="en-GB"/>
        </w:rPr>
        <w:t>stix</w:t>
      </w:r>
      <w:proofErr w:type="spellEnd"/>
      <w:r w:rsidRPr="00744C7E">
        <w:rPr>
          <w:rFonts w:ascii="Arial" w:eastAsia="Times New Roman" w:hAnsi="Arial" w:cs="Arial"/>
          <w:sz w:val="24"/>
          <w:szCs w:val="20"/>
          <w:lang w:eastAsia="en-GB"/>
        </w:rPr>
        <w:t xml:space="preserve"> or </w:t>
      </w:r>
      <w:proofErr w:type="spellStart"/>
      <w:r w:rsidRPr="00744C7E">
        <w:rPr>
          <w:rFonts w:ascii="Arial" w:eastAsia="Times New Roman" w:hAnsi="Arial" w:cs="Arial"/>
          <w:sz w:val="24"/>
          <w:szCs w:val="20"/>
          <w:lang w:eastAsia="en-GB"/>
        </w:rPr>
        <w:t>Dextrostix</w:t>
      </w:r>
      <w:proofErr w:type="spellEnd"/>
      <w:r w:rsidRPr="00744C7E">
        <w:rPr>
          <w:rFonts w:ascii="Arial" w:eastAsia="Times New Roman" w:hAnsi="Arial" w:cs="Arial"/>
          <w:sz w:val="24"/>
          <w:szCs w:val="20"/>
          <w:lang w:eastAsia="en-GB"/>
        </w:rPr>
        <w:t>.</w:t>
      </w:r>
    </w:p>
    <w:p w14:paraId="613CA76B"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Give hydrocortisone IV as a bolus (dose above) (unnecessary if child has already been given IM hydrocortisone within the previous 4 hours).</w:t>
      </w:r>
    </w:p>
    <w:p w14:paraId="6EEFB0ED"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If blood glucose &lt;2.5mmol/l, give bolus of 2ml/kg 10% dextrose.</w:t>
      </w:r>
    </w:p>
    <w:p w14:paraId="7C635401"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If patient drowsy, hypotensive and peripherally shut down, give 20ml/kg normal saline.</w:t>
      </w:r>
    </w:p>
    <w:p w14:paraId="099A9763"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Commence IV infusion of 0.45% saline and 5% dextrose at maintenance rate (extra if dehydrated).  Add potassium depending on electrolyte result.</w:t>
      </w:r>
    </w:p>
    <w:p w14:paraId="0AAE6F89"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 xml:space="preserve">Hydrocortisone must continue either orally or IV if vomiting continues.  If IV therapy is required, calculate normal total daily dose and triple it.  Then give this calculated dose as four equal divided doses, e.g. patient normally on 10mg/day, triple dose = 30mg, give as 7.5mg </w:t>
      </w:r>
      <w:proofErr w:type="spellStart"/>
      <w:r w:rsidRPr="00744C7E">
        <w:rPr>
          <w:rFonts w:ascii="Arial" w:eastAsia="Times New Roman" w:hAnsi="Arial" w:cs="Arial"/>
          <w:sz w:val="24"/>
          <w:szCs w:val="20"/>
          <w:lang w:eastAsia="en-GB"/>
        </w:rPr>
        <w:t>qds</w:t>
      </w:r>
      <w:proofErr w:type="spellEnd"/>
      <w:r w:rsidRPr="00744C7E">
        <w:rPr>
          <w:rFonts w:ascii="Arial" w:eastAsia="Times New Roman" w:hAnsi="Arial" w:cs="Arial"/>
          <w:sz w:val="24"/>
          <w:szCs w:val="20"/>
          <w:lang w:eastAsia="en-GB"/>
        </w:rPr>
        <w:t>.  Consider giving this increased daily dose as a continuous IV hydrocortisone infusion (50 mg hydrocortisone in 50ml normal saline) in severely ill patients (e.g. Total daily dose = 30mg, then give infusion of 1.25mls/hour).</w:t>
      </w:r>
    </w:p>
    <w:p w14:paraId="60F98195"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 xml:space="preserve">If child also on DDAVP, </w:t>
      </w:r>
      <w:r w:rsidRPr="00744C7E">
        <w:rPr>
          <w:rFonts w:ascii="Arial" w:eastAsia="Times New Roman" w:hAnsi="Arial" w:cs="Arial"/>
          <w:b/>
          <w:sz w:val="24"/>
          <w:szCs w:val="20"/>
          <w:lang w:eastAsia="en-GB"/>
        </w:rPr>
        <w:t>stop it</w:t>
      </w:r>
      <w:r w:rsidRPr="00744C7E">
        <w:rPr>
          <w:rFonts w:ascii="Arial" w:eastAsia="Times New Roman" w:hAnsi="Arial" w:cs="Arial"/>
          <w:sz w:val="24"/>
          <w:szCs w:val="20"/>
          <w:lang w:eastAsia="en-GB"/>
        </w:rPr>
        <w:t>.  Measure plasma and urine sodium and osmolality as well as monitoring fluid input and output. Then see below or D/W Dr Pryce for guidelines for managing fluids and re-starting DDAVP.</w:t>
      </w:r>
    </w:p>
    <w:p w14:paraId="5EED0E6A"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Once the child is better, the hydrocortisone dose should be reduced back to normal maintenance over 2-3 days.</w:t>
      </w:r>
    </w:p>
    <w:p w14:paraId="474ED7D1" w14:textId="77777777" w:rsidR="00744C7E" w:rsidRPr="00744C7E" w:rsidRDefault="00744C7E" w:rsidP="00744C7E">
      <w:pPr>
        <w:numPr>
          <w:ilvl w:val="0"/>
          <w:numId w:val="1"/>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 xml:space="preserve">Children with congenital adrenal hyperplasia will also be on </w:t>
      </w:r>
      <w:proofErr w:type="gramStart"/>
      <w:r w:rsidRPr="00744C7E">
        <w:rPr>
          <w:rFonts w:ascii="Arial" w:eastAsia="Times New Roman" w:hAnsi="Arial" w:cs="Arial"/>
          <w:sz w:val="24"/>
          <w:szCs w:val="20"/>
          <w:lang w:eastAsia="en-GB"/>
        </w:rPr>
        <w:t>fludrocortisone(</w:t>
      </w:r>
      <w:proofErr w:type="gramEnd"/>
      <w:r w:rsidRPr="00744C7E">
        <w:rPr>
          <w:rFonts w:ascii="Arial" w:eastAsia="Times New Roman" w:hAnsi="Arial" w:cs="Arial"/>
          <w:sz w:val="24"/>
          <w:szCs w:val="20"/>
          <w:lang w:eastAsia="en-GB"/>
        </w:rPr>
        <w:t>salt losers only).  If vomiting and unable tolerate orally, electrolytes will need to be monitored twice daily and appropriate sodium replacement made IV.</w:t>
      </w:r>
    </w:p>
    <w:p w14:paraId="36BA4890" w14:textId="77777777" w:rsidR="00744C7E" w:rsidRPr="00744C7E" w:rsidRDefault="00744C7E" w:rsidP="00744C7E">
      <w:pPr>
        <w:spacing w:after="0" w:line="240" w:lineRule="auto"/>
        <w:rPr>
          <w:rFonts w:ascii="Arial" w:eastAsia="Times New Roman" w:hAnsi="Arial" w:cs="Arial"/>
          <w:sz w:val="24"/>
          <w:szCs w:val="20"/>
          <w:lang w:eastAsia="en-GB"/>
        </w:rPr>
      </w:pPr>
    </w:p>
    <w:p w14:paraId="237E9BC6" w14:textId="77777777" w:rsidR="00744C7E" w:rsidRPr="00744C7E" w:rsidRDefault="00744C7E" w:rsidP="00744C7E">
      <w:pPr>
        <w:numPr>
          <w:ilvl w:val="0"/>
          <w:numId w:val="1"/>
        </w:numPr>
        <w:spacing w:before="100" w:after="100" w:line="240" w:lineRule="auto"/>
        <w:jc w:val="both"/>
        <w:rPr>
          <w:rFonts w:ascii="Arial" w:eastAsia="Times New Roman" w:hAnsi="Arial" w:cs="Times New Roman"/>
          <w:sz w:val="24"/>
          <w:szCs w:val="20"/>
          <w:lang w:eastAsia="en-GB"/>
        </w:rPr>
      </w:pPr>
      <w:r w:rsidRPr="00744C7E">
        <w:rPr>
          <w:rFonts w:ascii="Arial" w:eastAsia="Times New Roman" w:hAnsi="Arial" w:cs="Times New Roman"/>
          <w:sz w:val="24"/>
          <w:szCs w:val="20"/>
          <w:lang w:eastAsia="en-GB"/>
        </w:rPr>
        <w:t xml:space="preserve">The dose of fludrocortisone remains the same during </w:t>
      </w:r>
      <w:proofErr w:type="spellStart"/>
      <w:r w:rsidRPr="00744C7E">
        <w:rPr>
          <w:rFonts w:ascii="Arial" w:eastAsia="Times New Roman" w:hAnsi="Arial" w:cs="Times New Roman"/>
          <w:sz w:val="24"/>
          <w:szCs w:val="20"/>
          <w:lang w:eastAsia="en-GB"/>
        </w:rPr>
        <w:t>intercurrent</w:t>
      </w:r>
      <w:proofErr w:type="spellEnd"/>
      <w:r w:rsidRPr="00744C7E">
        <w:rPr>
          <w:rFonts w:ascii="Arial" w:eastAsia="Times New Roman" w:hAnsi="Arial" w:cs="Times New Roman"/>
          <w:sz w:val="24"/>
          <w:szCs w:val="20"/>
          <w:lang w:eastAsia="en-GB"/>
        </w:rPr>
        <w:t xml:space="preserve"> illnesses.</w:t>
      </w:r>
    </w:p>
    <w:p w14:paraId="4B2ABE24" w14:textId="77777777" w:rsidR="00744C7E" w:rsidRPr="00744C7E" w:rsidRDefault="00744C7E" w:rsidP="00744C7E">
      <w:pPr>
        <w:spacing w:after="0" w:line="240" w:lineRule="auto"/>
        <w:rPr>
          <w:rFonts w:ascii="Arial" w:eastAsia="Times New Roman" w:hAnsi="Arial" w:cs="Arial"/>
          <w:sz w:val="24"/>
          <w:szCs w:val="20"/>
          <w:lang w:eastAsia="en-GB"/>
        </w:rPr>
      </w:pPr>
    </w:p>
    <w:p w14:paraId="41CD424B" w14:textId="77777777" w:rsidR="00744C7E" w:rsidRPr="00744C7E" w:rsidRDefault="00744C7E" w:rsidP="00744C7E">
      <w:pPr>
        <w:numPr>
          <w:ilvl w:val="0"/>
          <w:numId w:val="2"/>
        </w:numPr>
        <w:spacing w:after="0" w:line="240" w:lineRule="auto"/>
        <w:rPr>
          <w:rFonts w:ascii="Arial" w:eastAsia="Times New Roman" w:hAnsi="Arial" w:cs="Arial"/>
          <w:b/>
          <w:sz w:val="24"/>
          <w:szCs w:val="20"/>
          <w:u w:val="single"/>
          <w:lang w:eastAsia="en-GB"/>
        </w:rPr>
      </w:pPr>
      <w:r w:rsidRPr="00744C7E">
        <w:rPr>
          <w:rFonts w:ascii="Arial" w:eastAsia="Times New Roman" w:hAnsi="Arial" w:cs="Arial"/>
          <w:b/>
          <w:sz w:val="24"/>
          <w:szCs w:val="20"/>
          <w:u w:val="single"/>
          <w:lang w:eastAsia="en-GB"/>
        </w:rPr>
        <w:lastRenderedPageBreak/>
        <w:t>Thyroxine:</w:t>
      </w:r>
    </w:p>
    <w:p w14:paraId="7A752191"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L-thyroxine should be continued orally during an acute admission.  However, it has a long half-life of several days and therefore if the child is vomiting and misses a dose for 24 hours this should not cause any harm.  If vomiting persists beyond 24 hours and child unable to take medication orally, check urgent thyroid function test including TSH, total and free T4.  Consider IV Tri-iodothyronine if oral route not possible for several days but discuss with endocrinologist.</w:t>
      </w:r>
    </w:p>
    <w:p w14:paraId="7A95AE36" w14:textId="77777777" w:rsidR="00744C7E" w:rsidRPr="00744C7E" w:rsidRDefault="00744C7E" w:rsidP="00744C7E">
      <w:pPr>
        <w:spacing w:after="0" w:line="240" w:lineRule="auto"/>
        <w:rPr>
          <w:rFonts w:ascii="Arial" w:eastAsia="Times New Roman" w:hAnsi="Arial" w:cs="Arial"/>
          <w:sz w:val="24"/>
          <w:szCs w:val="20"/>
          <w:lang w:eastAsia="en-GB"/>
        </w:rPr>
      </w:pPr>
    </w:p>
    <w:p w14:paraId="5B49353E" w14:textId="77777777" w:rsidR="00744C7E" w:rsidRPr="00744C7E" w:rsidRDefault="00744C7E" w:rsidP="00744C7E">
      <w:pPr>
        <w:numPr>
          <w:ilvl w:val="0"/>
          <w:numId w:val="2"/>
        </w:numPr>
        <w:spacing w:after="0" w:line="240" w:lineRule="auto"/>
        <w:rPr>
          <w:rFonts w:ascii="Arial" w:eastAsia="Times New Roman" w:hAnsi="Arial" w:cs="Arial"/>
          <w:b/>
          <w:sz w:val="24"/>
          <w:szCs w:val="20"/>
          <w:u w:val="single"/>
          <w:lang w:eastAsia="en-GB"/>
        </w:rPr>
      </w:pPr>
      <w:r w:rsidRPr="00744C7E">
        <w:rPr>
          <w:rFonts w:ascii="Arial" w:eastAsia="Times New Roman" w:hAnsi="Arial" w:cs="Arial"/>
          <w:b/>
          <w:sz w:val="24"/>
          <w:szCs w:val="20"/>
          <w:u w:val="single"/>
          <w:lang w:eastAsia="en-GB"/>
        </w:rPr>
        <w:t>Growth Hormone:</w:t>
      </w:r>
    </w:p>
    <w:p w14:paraId="228C6D75"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Growth hormone is administered by subcutaneous injection and therefore can be continued during prolonged admissions.  Ask parents to bring in their own supply, as the pharmacy will not stock it.  For acute admissions, missing a few days of growth hormone will not usually be of any consequence, except in children experiencing hypoglycaemia associated with GH deficiency.</w:t>
      </w:r>
    </w:p>
    <w:p w14:paraId="004FE47E" w14:textId="77777777" w:rsidR="00744C7E" w:rsidRPr="00744C7E" w:rsidRDefault="00744C7E" w:rsidP="00744C7E">
      <w:pPr>
        <w:numPr>
          <w:ilvl w:val="0"/>
          <w:numId w:val="2"/>
        </w:numPr>
        <w:spacing w:after="0" w:line="240" w:lineRule="auto"/>
        <w:rPr>
          <w:rFonts w:ascii="Arial" w:eastAsia="Times New Roman" w:hAnsi="Arial" w:cs="Arial"/>
          <w:b/>
          <w:sz w:val="24"/>
          <w:szCs w:val="20"/>
          <w:u w:val="single"/>
          <w:lang w:eastAsia="en-GB"/>
        </w:rPr>
      </w:pPr>
      <w:r w:rsidRPr="00744C7E">
        <w:rPr>
          <w:rFonts w:ascii="Arial" w:eastAsia="Times New Roman" w:hAnsi="Arial" w:cs="Arial"/>
          <w:b/>
          <w:sz w:val="24"/>
          <w:szCs w:val="20"/>
          <w:u w:val="single"/>
          <w:lang w:eastAsia="en-GB"/>
        </w:rPr>
        <w:t>DDAVP:</w:t>
      </w:r>
    </w:p>
    <w:p w14:paraId="13FD7817"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Please see note above about children on hydrocortisone and DDAVP.  In children on DDAVP, fluid balance will need to be watched carefully during an acute admission.  Check U+E and osmolality at least daily.  It is easy to overload a child and therefore, children requiring IV fluids should have their DDAVP temporarily stopped until discussion with endocrinologist.  Fluid balance can usually be maintained by providing hourly replacement as previous hours urine output + 0.5 ml/kg.  This may require urinary catheterisation.  Return to oral fluids as soon as possible.</w:t>
      </w:r>
    </w:p>
    <w:p w14:paraId="7DF4B450" w14:textId="77777777" w:rsidR="00744C7E" w:rsidRPr="00744C7E" w:rsidRDefault="00744C7E" w:rsidP="00744C7E">
      <w:pPr>
        <w:spacing w:after="0" w:line="240" w:lineRule="auto"/>
        <w:rPr>
          <w:rFonts w:ascii="Arial" w:eastAsia="Times New Roman" w:hAnsi="Arial" w:cs="Arial"/>
          <w:sz w:val="24"/>
          <w:szCs w:val="20"/>
          <w:lang w:eastAsia="en-GB"/>
        </w:rPr>
      </w:pPr>
    </w:p>
    <w:p w14:paraId="2FB664D8" w14:textId="77777777" w:rsidR="00744C7E" w:rsidRPr="00744C7E" w:rsidRDefault="00744C7E" w:rsidP="00744C7E">
      <w:pPr>
        <w:numPr>
          <w:ilvl w:val="0"/>
          <w:numId w:val="2"/>
        </w:numPr>
        <w:spacing w:after="0" w:line="240" w:lineRule="auto"/>
        <w:rPr>
          <w:rFonts w:ascii="Arial" w:eastAsia="Times New Roman" w:hAnsi="Arial" w:cs="Arial"/>
          <w:b/>
          <w:sz w:val="24"/>
          <w:szCs w:val="20"/>
          <w:u w:val="single"/>
          <w:lang w:eastAsia="en-GB"/>
        </w:rPr>
      </w:pPr>
      <w:r w:rsidRPr="00744C7E">
        <w:rPr>
          <w:rFonts w:ascii="Arial" w:eastAsia="Times New Roman" w:hAnsi="Arial" w:cs="Arial"/>
          <w:b/>
          <w:sz w:val="24"/>
          <w:szCs w:val="20"/>
          <w:u w:val="single"/>
          <w:lang w:eastAsia="en-GB"/>
        </w:rPr>
        <w:t>Sex steroid replacement (oestrogen/testosterone):</w:t>
      </w:r>
    </w:p>
    <w:p w14:paraId="03478139"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Oestrogen therapy may be continued via the oral route if possible.  If oral route not possible then temporarily discontinue.  This may induce a withdrawal menstrual bleed in girls on higher doses.  Testosterone is usually given by monthly injection and therefore should not be relevant during acute admissions.</w:t>
      </w:r>
    </w:p>
    <w:p w14:paraId="69351782" w14:textId="77777777" w:rsidR="00744C7E" w:rsidRPr="00744C7E" w:rsidRDefault="00744C7E" w:rsidP="00744C7E">
      <w:pPr>
        <w:spacing w:after="0" w:line="240" w:lineRule="auto"/>
        <w:jc w:val="center"/>
        <w:outlineLvl w:val="0"/>
        <w:rPr>
          <w:rFonts w:ascii="Arial" w:eastAsia="Times New Roman" w:hAnsi="Arial" w:cs="Arial"/>
          <w:sz w:val="24"/>
          <w:szCs w:val="20"/>
          <w:lang w:eastAsia="en-GB"/>
        </w:rPr>
      </w:pPr>
    </w:p>
    <w:p w14:paraId="34D3D216" w14:textId="77777777" w:rsidR="00744C7E" w:rsidRPr="00744C7E" w:rsidRDefault="00744C7E" w:rsidP="00744C7E">
      <w:pPr>
        <w:spacing w:after="0" w:line="240" w:lineRule="auto"/>
        <w:jc w:val="center"/>
        <w:outlineLvl w:val="0"/>
        <w:rPr>
          <w:rFonts w:ascii="Arial" w:eastAsia="Times New Roman" w:hAnsi="Arial" w:cs="Arial"/>
          <w:sz w:val="24"/>
          <w:szCs w:val="20"/>
          <w:lang w:eastAsia="en-GB"/>
        </w:rPr>
      </w:pPr>
    </w:p>
    <w:p w14:paraId="3D2F6A23" w14:textId="77777777" w:rsidR="00744C7E" w:rsidRPr="00744C7E" w:rsidRDefault="00744C7E" w:rsidP="00744C7E">
      <w:pPr>
        <w:spacing w:after="0" w:line="240" w:lineRule="auto"/>
        <w:jc w:val="center"/>
        <w:outlineLvl w:val="0"/>
        <w:rPr>
          <w:rFonts w:ascii="Arial" w:eastAsia="Times New Roman" w:hAnsi="Arial" w:cs="Arial"/>
          <w:sz w:val="24"/>
          <w:szCs w:val="20"/>
          <w:lang w:eastAsia="en-GB"/>
        </w:rPr>
      </w:pPr>
    </w:p>
    <w:p w14:paraId="5F0799E1" w14:textId="77777777" w:rsidR="00744C7E" w:rsidRPr="00744C7E" w:rsidRDefault="00744C7E" w:rsidP="00744C7E">
      <w:pPr>
        <w:spacing w:after="0" w:line="240" w:lineRule="auto"/>
        <w:jc w:val="center"/>
        <w:outlineLvl w:val="0"/>
        <w:rPr>
          <w:rFonts w:ascii="Arial" w:eastAsia="Times New Roman" w:hAnsi="Arial" w:cs="Arial"/>
          <w:b/>
          <w:bCs/>
          <w:sz w:val="28"/>
          <w:szCs w:val="28"/>
          <w:lang w:eastAsia="en-GB"/>
        </w:rPr>
      </w:pPr>
      <w:r w:rsidRPr="00744C7E">
        <w:rPr>
          <w:rFonts w:ascii="Arial" w:eastAsia="Times New Roman" w:hAnsi="Arial" w:cs="Arial"/>
          <w:sz w:val="24"/>
          <w:szCs w:val="20"/>
          <w:lang w:eastAsia="en-GB"/>
        </w:rPr>
        <w:br w:type="page"/>
      </w:r>
      <w:bookmarkStart w:id="0" w:name="_Toc75774517"/>
      <w:bookmarkStart w:id="1" w:name="Steroid9"/>
      <w:r w:rsidRPr="00744C7E">
        <w:rPr>
          <w:rFonts w:ascii="Arial" w:eastAsia="Times New Roman" w:hAnsi="Arial" w:cs="Arial"/>
          <w:b/>
          <w:bCs/>
          <w:sz w:val="28"/>
          <w:szCs w:val="28"/>
          <w:lang w:eastAsia="en-GB"/>
        </w:rPr>
        <w:lastRenderedPageBreak/>
        <w:t>9. STEROID COVER FOR SURGICAL PROCEDURES</w:t>
      </w:r>
      <w:bookmarkEnd w:id="0"/>
    </w:p>
    <w:p w14:paraId="41A72C6C" w14:textId="77777777" w:rsidR="00744C7E" w:rsidRPr="00744C7E" w:rsidRDefault="00744C7E" w:rsidP="00744C7E">
      <w:pPr>
        <w:spacing w:after="0" w:line="240" w:lineRule="auto"/>
        <w:jc w:val="center"/>
        <w:rPr>
          <w:rFonts w:ascii="Arial" w:eastAsia="Times New Roman" w:hAnsi="Arial" w:cs="Arial"/>
          <w:b/>
          <w:bCs/>
          <w:sz w:val="24"/>
          <w:szCs w:val="20"/>
          <w:lang w:eastAsia="en-GB"/>
        </w:rPr>
      </w:pPr>
      <w:r w:rsidRPr="00744C7E">
        <w:rPr>
          <w:rFonts w:ascii="Arial" w:eastAsia="Times New Roman" w:hAnsi="Arial" w:cs="Arial"/>
          <w:b/>
          <w:bCs/>
          <w:sz w:val="24"/>
          <w:szCs w:val="20"/>
          <w:lang w:eastAsia="en-GB"/>
        </w:rPr>
        <w:t xml:space="preserve">(Patients with ACTH deficiency, </w:t>
      </w:r>
      <w:smartTag w:uri="urn:schemas-microsoft-com:office:smarttags" w:element="place">
        <w:r w:rsidRPr="00744C7E">
          <w:rPr>
            <w:rFonts w:ascii="Arial" w:eastAsia="Times New Roman" w:hAnsi="Arial" w:cs="Arial"/>
            <w:b/>
            <w:bCs/>
            <w:sz w:val="24"/>
            <w:szCs w:val="20"/>
            <w:lang w:eastAsia="en-GB"/>
          </w:rPr>
          <w:t>Addison</w:t>
        </w:r>
      </w:smartTag>
      <w:r w:rsidRPr="00744C7E">
        <w:rPr>
          <w:rFonts w:ascii="Arial" w:eastAsia="Times New Roman" w:hAnsi="Arial" w:cs="Arial"/>
          <w:b/>
          <w:bCs/>
          <w:sz w:val="24"/>
          <w:szCs w:val="20"/>
          <w:lang w:eastAsia="en-GB"/>
        </w:rPr>
        <w:t>’s, CAH)</w:t>
      </w:r>
    </w:p>
    <w:p w14:paraId="4560035A" w14:textId="77777777" w:rsidR="00744C7E" w:rsidRPr="00744C7E" w:rsidRDefault="00744C7E" w:rsidP="00744C7E">
      <w:pPr>
        <w:spacing w:after="0" w:line="240" w:lineRule="auto"/>
        <w:jc w:val="center"/>
        <w:rPr>
          <w:rFonts w:ascii="Arial" w:eastAsia="Times New Roman" w:hAnsi="Arial" w:cs="Arial"/>
          <w:b/>
          <w:bCs/>
          <w:sz w:val="24"/>
          <w:szCs w:val="20"/>
          <w:lang w:eastAsia="en-GB"/>
        </w:rPr>
      </w:pPr>
    </w:p>
    <w:p w14:paraId="0F6D5E8D"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u w:val="single"/>
          <w:lang w:eastAsia="en-GB"/>
        </w:rPr>
        <w:t>Pre-op</w:t>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Height, weight, blood pressure, surface area, U &amp; E</w:t>
      </w:r>
    </w:p>
    <w:p w14:paraId="71D10C4E"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 xml:space="preserve">Inform Paediatric Endocrine </w:t>
      </w:r>
      <w:proofErr w:type="spellStart"/>
      <w:r w:rsidRPr="00744C7E">
        <w:rPr>
          <w:rFonts w:ascii="Arial" w:eastAsia="Times New Roman" w:hAnsi="Arial" w:cs="Arial"/>
          <w:sz w:val="24"/>
          <w:szCs w:val="20"/>
          <w:lang w:eastAsia="en-GB"/>
        </w:rPr>
        <w:t>SpR</w:t>
      </w:r>
      <w:proofErr w:type="spellEnd"/>
      <w:r w:rsidRPr="00744C7E">
        <w:rPr>
          <w:rFonts w:ascii="Arial" w:eastAsia="Times New Roman" w:hAnsi="Arial" w:cs="Arial"/>
          <w:sz w:val="24"/>
          <w:szCs w:val="20"/>
          <w:lang w:eastAsia="en-GB"/>
        </w:rPr>
        <w:t>/Dr Pryce or Carol Fraser</w:t>
      </w:r>
    </w:p>
    <w:p w14:paraId="7BD1F84E"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Inform Surgeon and Anaesthetist</w:t>
      </w:r>
    </w:p>
    <w:p w14:paraId="412FBECC" w14:textId="77777777" w:rsidR="00744C7E" w:rsidRPr="00744C7E" w:rsidRDefault="00744C7E" w:rsidP="00744C7E">
      <w:pPr>
        <w:spacing w:after="0" w:line="240" w:lineRule="auto"/>
        <w:rPr>
          <w:rFonts w:ascii="Arial" w:eastAsia="Times New Roman" w:hAnsi="Arial" w:cs="Arial"/>
          <w:b/>
          <w:bCs/>
          <w:sz w:val="24"/>
          <w:szCs w:val="20"/>
          <w:lang w:eastAsia="en-GB"/>
        </w:rPr>
      </w:pPr>
    </w:p>
    <w:p w14:paraId="5FB778B1"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b/>
          <w:bCs/>
          <w:sz w:val="24"/>
          <w:szCs w:val="20"/>
          <w:lang w:eastAsia="en-GB"/>
        </w:rPr>
        <w:t>Minor Surgery:</w:t>
      </w:r>
      <w:r w:rsidRPr="00744C7E">
        <w:rPr>
          <w:rFonts w:ascii="Arial" w:eastAsia="Times New Roman" w:hAnsi="Arial" w:cs="Arial"/>
          <w:sz w:val="24"/>
          <w:szCs w:val="20"/>
          <w:lang w:eastAsia="en-GB"/>
        </w:rPr>
        <w:t xml:space="preserve">    (e.g. cystoscopy/endoscopy)</w:t>
      </w:r>
    </w:p>
    <w:p w14:paraId="1C9DFD50" w14:textId="77777777" w:rsidR="00744C7E" w:rsidRPr="00744C7E" w:rsidRDefault="00744C7E" w:rsidP="00744C7E">
      <w:pPr>
        <w:spacing w:after="0" w:line="240" w:lineRule="auto"/>
        <w:rPr>
          <w:rFonts w:ascii="Arial" w:eastAsia="Times New Roman" w:hAnsi="Arial" w:cs="Arial"/>
          <w:sz w:val="20"/>
          <w:szCs w:val="20"/>
          <w:lang w:val="x-none" w:eastAsia="x-none"/>
        </w:rPr>
      </w:pPr>
    </w:p>
    <w:p w14:paraId="740BA5D3"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u w:val="single"/>
          <w:lang w:eastAsia="en-GB"/>
        </w:rPr>
        <w:t>At Induction</w:t>
      </w:r>
      <w:r w:rsidRPr="00744C7E">
        <w:rPr>
          <w:rFonts w:ascii="Arial" w:eastAsia="Times New Roman" w:hAnsi="Arial" w:cs="Arial"/>
          <w:sz w:val="24"/>
          <w:szCs w:val="20"/>
          <w:lang w:eastAsia="en-GB"/>
        </w:rPr>
        <w:t xml:space="preserve"> -</w:t>
      </w:r>
      <w:r w:rsidRPr="00744C7E">
        <w:rPr>
          <w:rFonts w:ascii="Arial" w:eastAsia="Times New Roman" w:hAnsi="Arial" w:cs="Arial"/>
          <w:sz w:val="24"/>
          <w:szCs w:val="20"/>
          <w:lang w:eastAsia="en-GB"/>
        </w:rPr>
        <w:tab/>
        <w:t>Hydrocortisone IV</w:t>
      </w:r>
      <w:r w:rsidRPr="00744C7E">
        <w:rPr>
          <w:rFonts w:ascii="Arial" w:eastAsia="Times New Roman" w:hAnsi="Arial" w:cs="Arial"/>
          <w:sz w:val="24"/>
          <w:szCs w:val="20"/>
          <w:lang w:eastAsia="en-GB"/>
        </w:rPr>
        <w:tab/>
        <w:t>25mg if    &lt;10 kg</w:t>
      </w:r>
    </w:p>
    <w:p w14:paraId="7DE57F97"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50mg if 10-30 kg</w:t>
      </w:r>
    </w:p>
    <w:p w14:paraId="685CD271"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100mg if    &gt;30 kg</w:t>
      </w:r>
    </w:p>
    <w:p w14:paraId="4C022C5D" w14:textId="77777777" w:rsidR="00744C7E" w:rsidRPr="00744C7E" w:rsidRDefault="00744C7E" w:rsidP="00744C7E">
      <w:pPr>
        <w:spacing w:after="0" w:line="240" w:lineRule="auto"/>
        <w:rPr>
          <w:rFonts w:ascii="Arial" w:eastAsia="Times New Roman" w:hAnsi="Arial" w:cs="Arial"/>
          <w:sz w:val="24"/>
          <w:szCs w:val="20"/>
          <w:lang w:eastAsia="en-GB"/>
        </w:rPr>
      </w:pPr>
    </w:p>
    <w:p w14:paraId="0A6CDA88"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If salt loser - may need IV fluids (0.45% saline/5% dextrose) if not drinking immediately after surgery.</w:t>
      </w:r>
    </w:p>
    <w:p w14:paraId="0D0858B8" w14:textId="77777777" w:rsidR="00744C7E" w:rsidRPr="00744C7E" w:rsidRDefault="00744C7E" w:rsidP="00744C7E">
      <w:pPr>
        <w:spacing w:after="0" w:line="240" w:lineRule="auto"/>
        <w:rPr>
          <w:rFonts w:ascii="Arial" w:eastAsia="Times New Roman" w:hAnsi="Arial" w:cs="Arial"/>
          <w:sz w:val="24"/>
          <w:szCs w:val="20"/>
          <w:u w:val="single"/>
          <w:lang w:eastAsia="en-GB"/>
        </w:rPr>
      </w:pPr>
    </w:p>
    <w:p w14:paraId="14403EFF"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u w:val="single"/>
          <w:lang w:eastAsia="en-GB"/>
        </w:rPr>
        <w:t>Post-op</w:t>
      </w:r>
      <w:r w:rsidRPr="00744C7E">
        <w:rPr>
          <w:rFonts w:ascii="Arial" w:eastAsia="Times New Roman" w:hAnsi="Arial" w:cs="Arial"/>
          <w:sz w:val="24"/>
          <w:szCs w:val="20"/>
          <w:lang w:eastAsia="en-GB"/>
        </w:rPr>
        <w:tab/>
        <w:t xml:space="preserve"> </w:t>
      </w:r>
      <w:r w:rsidRPr="00744C7E">
        <w:rPr>
          <w:rFonts w:ascii="Arial" w:eastAsia="Times New Roman" w:hAnsi="Arial" w:cs="Arial"/>
          <w:sz w:val="24"/>
          <w:szCs w:val="20"/>
          <w:lang w:eastAsia="en-GB"/>
        </w:rPr>
        <w:tab/>
        <w:t>routine medication if tolerating orally, otherwise as below</w:t>
      </w:r>
    </w:p>
    <w:p w14:paraId="7FBD804B" w14:textId="77777777" w:rsidR="00744C7E" w:rsidRPr="00744C7E" w:rsidRDefault="00744C7E" w:rsidP="00744C7E">
      <w:pPr>
        <w:spacing w:after="0" w:line="240" w:lineRule="auto"/>
        <w:rPr>
          <w:rFonts w:ascii="Arial" w:eastAsia="Times New Roman" w:hAnsi="Arial" w:cs="Arial"/>
          <w:b/>
          <w:bCs/>
          <w:sz w:val="24"/>
          <w:szCs w:val="20"/>
          <w:u w:val="single"/>
          <w:lang w:eastAsia="en-GB"/>
        </w:rPr>
      </w:pPr>
    </w:p>
    <w:p w14:paraId="23EFBE46"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b/>
          <w:sz w:val="24"/>
          <w:szCs w:val="20"/>
          <w:lang w:eastAsia="en-GB"/>
        </w:rPr>
        <w:t>Major Surgery</w:t>
      </w:r>
      <w:r w:rsidRPr="00744C7E">
        <w:rPr>
          <w:rFonts w:ascii="Arial" w:eastAsia="Times New Roman" w:hAnsi="Arial" w:cs="Arial"/>
          <w:sz w:val="24"/>
          <w:szCs w:val="20"/>
          <w:lang w:eastAsia="en-GB"/>
        </w:rPr>
        <w:t>: (any surgery where not expected to eat/drink immediately)</w:t>
      </w:r>
    </w:p>
    <w:p w14:paraId="3F63552D" w14:textId="77777777" w:rsidR="00744C7E" w:rsidRPr="00744C7E" w:rsidRDefault="00744C7E" w:rsidP="00744C7E">
      <w:pPr>
        <w:spacing w:after="0" w:line="240" w:lineRule="auto"/>
        <w:rPr>
          <w:rFonts w:ascii="Arial" w:eastAsia="Times New Roman" w:hAnsi="Arial" w:cs="Arial"/>
          <w:sz w:val="24"/>
          <w:szCs w:val="20"/>
          <w:u w:val="single"/>
          <w:lang w:eastAsia="en-GB"/>
        </w:rPr>
      </w:pPr>
    </w:p>
    <w:p w14:paraId="60C77FB4"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u w:val="single"/>
          <w:lang w:eastAsia="en-GB"/>
        </w:rPr>
        <w:t>At Induction</w:t>
      </w:r>
      <w:r w:rsidRPr="00744C7E">
        <w:rPr>
          <w:rFonts w:ascii="Arial" w:eastAsia="Times New Roman" w:hAnsi="Arial" w:cs="Arial"/>
          <w:sz w:val="24"/>
          <w:szCs w:val="20"/>
          <w:lang w:eastAsia="en-GB"/>
        </w:rPr>
        <w:t xml:space="preserve"> -</w:t>
      </w:r>
      <w:r w:rsidRPr="00744C7E">
        <w:rPr>
          <w:rFonts w:ascii="Arial" w:eastAsia="Times New Roman" w:hAnsi="Arial" w:cs="Arial"/>
          <w:sz w:val="24"/>
          <w:szCs w:val="20"/>
          <w:lang w:eastAsia="en-GB"/>
        </w:rPr>
        <w:tab/>
        <w:t>Hydrocortisone IV</w:t>
      </w:r>
      <w:r w:rsidRPr="00744C7E">
        <w:rPr>
          <w:rFonts w:ascii="Arial" w:eastAsia="Times New Roman" w:hAnsi="Arial" w:cs="Arial"/>
          <w:sz w:val="24"/>
          <w:szCs w:val="20"/>
          <w:lang w:eastAsia="en-GB"/>
        </w:rPr>
        <w:tab/>
        <w:t>25mg if    &lt;10 kg</w:t>
      </w:r>
    </w:p>
    <w:p w14:paraId="607B0CDB"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50mg if 10-30 kg</w:t>
      </w:r>
    </w:p>
    <w:p w14:paraId="6BA9200C"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100mg if    &gt;30 kg</w:t>
      </w:r>
    </w:p>
    <w:p w14:paraId="523F5B2D" w14:textId="77777777" w:rsidR="00744C7E" w:rsidRPr="00744C7E" w:rsidRDefault="00744C7E" w:rsidP="00744C7E">
      <w:pPr>
        <w:spacing w:after="0" w:line="240" w:lineRule="auto"/>
        <w:rPr>
          <w:rFonts w:ascii="Arial" w:eastAsia="Times New Roman" w:hAnsi="Arial" w:cs="Arial"/>
          <w:b/>
          <w:bCs/>
          <w:sz w:val="24"/>
          <w:szCs w:val="20"/>
          <w:lang w:eastAsia="en-GB"/>
        </w:rPr>
      </w:pPr>
    </w:p>
    <w:p w14:paraId="6399C010" w14:textId="77777777" w:rsidR="00744C7E" w:rsidRPr="00744C7E" w:rsidRDefault="00744C7E" w:rsidP="00744C7E">
      <w:p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u w:val="single"/>
          <w:lang w:eastAsia="en-GB"/>
        </w:rPr>
        <w:t>Post-op</w:t>
      </w:r>
      <w:r w:rsidRPr="00744C7E">
        <w:rPr>
          <w:rFonts w:ascii="Arial" w:eastAsia="Times New Roman" w:hAnsi="Arial" w:cs="Arial"/>
          <w:sz w:val="24"/>
          <w:szCs w:val="20"/>
          <w:lang w:eastAsia="en-GB"/>
        </w:rPr>
        <w:tab/>
      </w:r>
      <w:r w:rsidRPr="00744C7E">
        <w:rPr>
          <w:rFonts w:ascii="Arial" w:eastAsia="Times New Roman" w:hAnsi="Arial" w:cs="Arial"/>
          <w:sz w:val="24"/>
          <w:szCs w:val="20"/>
          <w:lang w:eastAsia="en-GB"/>
        </w:rPr>
        <w:tab/>
        <w:t xml:space="preserve">Hydrocortisone iv/oral </w:t>
      </w:r>
    </w:p>
    <w:p w14:paraId="1C6A032D" w14:textId="77777777" w:rsidR="00744C7E" w:rsidRPr="00744C7E" w:rsidRDefault="00744C7E" w:rsidP="00744C7E">
      <w:pPr>
        <w:spacing w:after="0" w:line="240" w:lineRule="auto"/>
        <w:ind w:left="1440"/>
        <w:rPr>
          <w:rFonts w:ascii="Arial" w:eastAsia="Times New Roman" w:hAnsi="Arial" w:cs="Arial"/>
          <w:sz w:val="24"/>
          <w:szCs w:val="20"/>
          <w:lang w:eastAsia="en-GB"/>
        </w:rPr>
      </w:pPr>
      <w:r w:rsidRPr="00744C7E">
        <w:rPr>
          <w:rFonts w:ascii="Arial" w:eastAsia="Times New Roman" w:hAnsi="Arial" w:cs="Arial"/>
          <w:sz w:val="24"/>
          <w:szCs w:val="20"/>
          <w:lang w:eastAsia="en-GB"/>
        </w:rPr>
        <w:t>Double the normal maintenance dose and give in 3 divided doses for the first 24-48 hours.</w:t>
      </w:r>
    </w:p>
    <w:p w14:paraId="2A089543" w14:textId="77777777" w:rsidR="00744C7E" w:rsidRPr="00744C7E" w:rsidRDefault="00744C7E" w:rsidP="00744C7E">
      <w:pPr>
        <w:spacing w:after="0" w:line="240" w:lineRule="auto"/>
        <w:ind w:left="1440"/>
        <w:rPr>
          <w:rFonts w:ascii="Arial" w:eastAsia="Times New Roman" w:hAnsi="Arial" w:cs="Arial"/>
          <w:sz w:val="24"/>
          <w:szCs w:val="20"/>
          <w:lang w:eastAsia="en-GB"/>
        </w:rPr>
      </w:pPr>
      <w:r w:rsidRPr="00744C7E">
        <w:rPr>
          <w:rFonts w:ascii="Arial" w:eastAsia="Times New Roman" w:hAnsi="Arial" w:cs="Arial"/>
          <w:sz w:val="24"/>
          <w:szCs w:val="20"/>
          <w:lang w:eastAsia="en-GB"/>
        </w:rPr>
        <w:t>Then, tail off over 24 hours to maintenance dose if child clinically better.</w:t>
      </w:r>
    </w:p>
    <w:p w14:paraId="265302DC" w14:textId="77777777" w:rsidR="00744C7E" w:rsidRPr="00744C7E" w:rsidRDefault="00744C7E" w:rsidP="00744C7E">
      <w:pPr>
        <w:spacing w:after="0" w:line="240" w:lineRule="auto"/>
        <w:ind w:left="1440"/>
        <w:rPr>
          <w:rFonts w:ascii="Arial" w:eastAsia="Times New Roman" w:hAnsi="Arial" w:cs="Arial"/>
          <w:sz w:val="24"/>
          <w:szCs w:val="20"/>
          <w:lang w:eastAsia="en-GB"/>
        </w:rPr>
      </w:pPr>
      <w:r w:rsidRPr="00744C7E">
        <w:rPr>
          <w:rFonts w:ascii="Arial" w:eastAsia="Times New Roman" w:hAnsi="Arial" w:cs="Arial"/>
          <w:sz w:val="24"/>
          <w:szCs w:val="20"/>
          <w:lang w:eastAsia="en-GB"/>
        </w:rPr>
        <w:t>If child unwell postoperatively, consider a continuous IV infusion of hydrocortisone (dose triple normal daily maintenance and divide by 24 to give hourly rate).</w:t>
      </w:r>
    </w:p>
    <w:p w14:paraId="59A16B64" w14:textId="77777777" w:rsidR="00744C7E" w:rsidRPr="00744C7E" w:rsidRDefault="00744C7E" w:rsidP="00744C7E">
      <w:pPr>
        <w:spacing w:after="0" w:line="240" w:lineRule="auto"/>
        <w:rPr>
          <w:rFonts w:ascii="Arial" w:eastAsia="Times New Roman" w:hAnsi="Arial" w:cs="Arial"/>
          <w:sz w:val="24"/>
          <w:szCs w:val="20"/>
          <w:lang w:eastAsia="en-GB"/>
        </w:rPr>
      </w:pPr>
    </w:p>
    <w:p w14:paraId="20A1C162" w14:textId="77777777" w:rsidR="00744C7E" w:rsidRPr="00744C7E" w:rsidRDefault="00744C7E" w:rsidP="00744C7E">
      <w:pPr>
        <w:spacing w:after="0" w:line="240" w:lineRule="auto"/>
        <w:rPr>
          <w:rFonts w:ascii="Arial" w:eastAsia="Times New Roman" w:hAnsi="Arial" w:cs="Arial"/>
          <w:sz w:val="24"/>
          <w:szCs w:val="20"/>
          <w:u w:val="single"/>
          <w:lang w:eastAsia="en-GB"/>
        </w:rPr>
      </w:pPr>
      <w:r w:rsidRPr="00744C7E">
        <w:rPr>
          <w:rFonts w:ascii="Arial" w:eastAsia="Times New Roman" w:hAnsi="Arial" w:cs="Arial"/>
          <w:sz w:val="24"/>
          <w:szCs w:val="20"/>
          <w:u w:val="single"/>
          <w:lang w:eastAsia="en-GB"/>
        </w:rPr>
        <w:t>Fluids</w:t>
      </w:r>
    </w:p>
    <w:p w14:paraId="78848F36" w14:textId="77777777" w:rsidR="00744C7E" w:rsidRPr="00744C7E" w:rsidRDefault="00744C7E" w:rsidP="00744C7E">
      <w:pPr>
        <w:numPr>
          <w:ilvl w:val="0"/>
          <w:numId w:val="3"/>
        </w:numPr>
        <w:spacing w:after="0" w:line="240" w:lineRule="auto"/>
        <w:rPr>
          <w:rFonts w:ascii="Arial" w:eastAsia="Times New Roman" w:hAnsi="Arial" w:cs="Arial"/>
          <w:sz w:val="24"/>
          <w:szCs w:val="20"/>
          <w:lang w:eastAsia="en-GB"/>
        </w:rPr>
      </w:pPr>
      <w:r w:rsidRPr="00744C7E">
        <w:rPr>
          <w:rFonts w:ascii="Arial" w:eastAsia="Times New Roman" w:hAnsi="Arial" w:cs="Arial"/>
          <w:b/>
          <w:bCs/>
          <w:sz w:val="24"/>
          <w:szCs w:val="20"/>
          <w:lang w:eastAsia="en-GB"/>
        </w:rPr>
        <w:t>A: Salt-losing</w:t>
      </w:r>
      <w:r w:rsidRPr="00744C7E">
        <w:rPr>
          <w:rFonts w:ascii="Arial" w:eastAsia="Times New Roman" w:hAnsi="Arial" w:cs="Arial"/>
          <w:sz w:val="24"/>
          <w:szCs w:val="20"/>
          <w:lang w:eastAsia="en-GB"/>
        </w:rPr>
        <w:t xml:space="preserve"> (CAH/ </w:t>
      </w:r>
      <w:smartTag w:uri="urn:schemas-microsoft-com:office:smarttags" w:element="place">
        <w:r w:rsidRPr="00744C7E">
          <w:rPr>
            <w:rFonts w:ascii="Arial" w:eastAsia="Times New Roman" w:hAnsi="Arial" w:cs="Arial"/>
            <w:sz w:val="24"/>
            <w:szCs w:val="20"/>
            <w:lang w:eastAsia="en-GB"/>
          </w:rPr>
          <w:t>Addison</w:t>
        </w:r>
      </w:smartTag>
      <w:r w:rsidRPr="00744C7E">
        <w:rPr>
          <w:rFonts w:ascii="Arial" w:eastAsia="Times New Roman" w:hAnsi="Arial" w:cs="Arial"/>
          <w:sz w:val="24"/>
          <w:szCs w:val="20"/>
          <w:lang w:eastAsia="en-GB"/>
        </w:rPr>
        <w:t>’s)</w:t>
      </w:r>
    </w:p>
    <w:p w14:paraId="1076F6D1" w14:textId="77777777" w:rsidR="00744C7E" w:rsidRPr="00744C7E" w:rsidRDefault="00744C7E" w:rsidP="00744C7E">
      <w:pPr>
        <w:numPr>
          <w:ilvl w:val="1"/>
          <w:numId w:val="3"/>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0.9% saline and 5% dextrose at maintenance rate.</w:t>
      </w:r>
    </w:p>
    <w:p w14:paraId="3EE76E7E" w14:textId="77777777" w:rsidR="00744C7E" w:rsidRPr="00744C7E" w:rsidRDefault="00744C7E" w:rsidP="00744C7E">
      <w:pPr>
        <w:numPr>
          <w:ilvl w:val="1"/>
          <w:numId w:val="3"/>
        </w:numPr>
        <w:spacing w:after="0" w:line="240" w:lineRule="auto"/>
        <w:rPr>
          <w:rFonts w:ascii="Arial" w:eastAsia="Times New Roman" w:hAnsi="Arial" w:cs="Arial"/>
          <w:b/>
          <w:bCs/>
          <w:sz w:val="24"/>
          <w:szCs w:val="20"/>
          <w:lang w:eastAsia="en-GB"/>
        </w:rPr>
      </w:pPr>
      <w:r w:rsidRPr="00744C7E">
        <w:rPr>
          <w:rFonts w:ascii="Arial" w:eastAsia="Times New Roman" w:hAnsi="Arial" w:cs="Arial"/>
          <w:sz w:val="24"/>
          <w:szCs w:val="20"/>
          <w:lang w:eastAsia="en-GB"/>
        </w:rPr>
        <w:t>Daily U &amp; E.</w:t>
      </w:r>
    </w:p>
    <w:p w14:paraId="4F86A4F3" w14:textId="77777777" w:rsidR="00744C7E" w:rsidRPr="00744C7E" w:rsidRDefault="00744C7E" w:rsidP="00744C7E">
      <w:pPr>
        <w:numPr>
          <w:ilvl w:val="1"/>
          <w:numId w:val="3"/>
        </w:numPr>
        <w:spacing w:after="0" w:line="240" w:lineRule="auto"/>
        <w:rPr>
          <w:rFonts w:ascii="Arial" w:eastAsia="Times New Roman" w:hAnsi="Arial" w:cs="Arial"/>
          <w:sz w:val="24"/>
          <w:szCs w:val="20"/>
          <w:lang w:eastAsia="en-GB"/>
        </w:rPr>
      </w:pPr>
      <w:r w:rsidRPr="00744C7E">
        <w:rPr>
          <w:rFonts w:ascii="Arial" w:eastAsia="Times New Roman" w:hAnsi="Arial" w:cs="Arial"/>
          <w:sz w:val="24"/>
          <w:szCs w:val="20"/>
          <w:lang w:eastAsia="en-GB"/>
        </w:rPr>
        <w:t xml:space="preserve">When tolerating oral fluids, return to normal </w:t>
      </w:r>
      <w:proofErr w:type="spellStart"/>
      <w:r w:rsidRPr="00744C7E">
        <w:rPr>
          <w:rFonts w:ascii="Arial" w:eastAsia="Times New Roman" w:hAnsi="Arial" w:cs="Arial"/>
          <w:sz w:val="24"/>
          <w:szCs w:val="20"/>
          <w:lang w:eastAsia="en-GB"/>
        </w:rPr>
        <w:t>NaCl</w:t>
      </w:r>
      <w:proofErr w:type="spellEnd"/>
      <w:r w:rsidRPr="00744C7E">
        <w:rPr>
          <w:rFonts w:ascii="Arial" w:eastAsia="Times New Roman" w:hAnsi="Arial" w:cs="Arial"/>
          <w:sz w:val="24"/>
          <w:szCs w:val="20"/>
          <w:lang w:eastAsia="en-GB"/>
        </w:rPr>
        <w:t xml:space="preserve"> supplements</w:t>
      </w:r>
    </w:p>
    <w:p w14:paraId="7B72DB8F" w14:textId="77777777" w:rsidR="00744C7E" w:rsidRPr="00744C7E" w:rsidRDefault="00744C7E" w:rsidP="00744C7E">
      <w:pPr>
        <w:spacing w:after="0" w:line="240" w:lineRule="auto"/>
        <w:ind w:left="1440"/>
        <w:rPr>
          <w:rFonts w:ascii="Arial" w:eastAsia="Times New Roman" w:hAnsi="Arial" w:cs="Arial"/>
          <w:sz w:val="24"/>
          <w:szCs w:val="20"/>
          <w:lang w:eastAsia="en-GB"/>
        </w:rPr>
      </w:pPr>
      <w:r w:rsidRPr="00744C7E">
        <w:rPr>
          <w:rFonts w:ascii="Arial" w:eastAsia="Times New Roman" w:hAnsi="Arial" w:cs="Arial"/>
          <w:sz w:val="24"/>
          <w:szCs w:val="20"/>
          <w:lang w:eastAsia="en-GB"/>
        </w:rPr>
        <w:t>And re-start Fludrocortisone.</w:t>
      </w:r>
    </w:p>
    <w:p w14:paraId="005E02A0" w14:textId="77777777" w:rsidR="00744C7E" w:rsidRPr="00744C7E" w:rsidRDefault="00744C7E" w:rsidP="00744C7E">
      <w:pPr>
        <w:spacing w:after="0" w:line="240" w:lineRule="auto"/>
        <w:rPr>
          <w:rFonts w:ascii="Arial" w:eastAsia="Times New Roman" w:hAnsi="Arial" w:cs="Arial"/>
          <w:sz w:val="24"/>
          <w:szCs w:val="20"/>
          <w:lang w:eastAsia="en-GB"/>
        </w:rPr>
      </w:pPr>
    </w:p>
    <w:p w14:paraId="31976966" w14:textId="77777777" w:rsidR="00744C7E" w:rsidRPr="00744C7E" w:rsidRDefault="00744C7E" w:rsidP="00744C7E">
      <w:pPr>
        <w:numPr>
          <w:ilvl w:val="0"/>
          <w:numId w:val="3"/>
        </w:numPr>
        <w:spacing w:after="0" w:line="240" w:lineRule="auto"/>
        <w:rPr>
          <w:rFonts w:ascii="Arial" w:eastAsia="Times New Roman" w:hAnsi="Arial" w:cs="Arial"/>
          <w:b/>
          <w:bCs/>
          <w:sz w:val="24"/>
          <w:szCs w:val="20"/>
          <w:lang w:eastAsia="en-GB"/>
        </w:rPr>
      </w:pPr>
      <w:r w:rsidRPr="00744C7E">
        <w:rPr>
          <w:rFonts w:ascii="Arial" w:eastAsia="Times New Roman" w:hAnsi="Arial" w:cs="Arial"/>
          <w:b/>
          <w:bCs/>
          <w:sz w:val="24"/>
          <w:szCs w:val="20"/>
          <w:lang w:eastAsia="en-GB"/>
        </w:rPr>
        <w:t>B: Non salt-losing</w:t>
      </w:r>
      <w:r w:rsidRPr="00744C7E">
        <w:rPr>
          <w:rFonts w:ascii="Arial" w:eastAsia="Times New Roman" w:hAnsi="Arial" w:cs="Arial"/>
          <w:sz w:val="24"/>
          <w:szCs w:val="20"/>
          <w:lang w:eastAsia="en-GB"/>
        </w:rPr>
        <w:t xml:space="preserve"> (ACTH/ isolated Cortisol deficiency)</w:t>
      </w:r>
    </w:p>
    <w:p w14:paraId="18B34D84" w14:textId="77777777" w:rsidR="00744C7E" w:rsidRPr="00744C7E" w:rsidRDefault="00744C7E" w:rsidP="00744C7E">
      <w:pPr>
        <w:numPr>
          <w:ilvl w:val="1"/>
          <w:numId w:val="3"/>
        </w:numPr>
        <w:spacing w:after="0" w:line="240" w:lineRule="auto"/>
        <w:rPr>
          <w:rFonts w:ascii="Arial" w:eastAsia="Times New Roman" w:hAnsi="Arial" w:cs="Arial"/>
          <w:b/>
          <w:bCs/>
          <w:sz w:val="24"/>
          <w:szCs w:val="20"/>
          <w:lang w:eastAsia="en-GB"/>
        </w:rPr>
      </w:pPr>
      <w:r w:rsidRPr="00744C7E">
        <w:rPr>
          <w:rFonts w:ascii="Arial" w:eastAsia="Times New Roman" w:hAnsi="Arial" w:cs="Arial"/>
          <w:sz w:val="24"/>
          <w:szCs w:val="20"/>
          <w:lang w:eastAsia="en-GB"/>
        </w:rPr>
        <w:t xml:space="preserve">Normal maintenance fluid as 4% Dextrose/ 0.18% </w:t>
      </w:r>
      <w:proofErr w:type="spellStart"/>
      <w:r w:rsidRPr="00744C7E">
        <w:rPr>
          <w:rFonts w:ascii="Arial" w:eastAsia="Times New Roman" w:hAnsi="Arial" w:cs="Arial"/>
          <w:sz w:val="24"/>
          <w:szCs w:val="20"/>
          <w:lang w:eastAsia="en-GB"/>
        </w:rPr>
        <w:t>NaCl</w:t>
      </w:r>
      <w:proofErr w:type="spellEnd"/>
    </w:p>
    <w:p w14:paraId="31B1928D" w14:textId="77777777" w:rsidR="00744C7E" w:rsidRPr="00744C7E" w:rsidRDefault="00744C7E" w:rsidP="00744C7E">
      <w:pPr>
        <w:spacing w:after="0" w:line="240" w:lineRule="auto"/>
        <w:rPr>
          <w:rFonts w:ascii="Arial" w:eastAsia="Times New Roman" w:hAnsi="Arial" w:cs="Arial"/>
          <w:b/>
          <w:bCs/>
          <w:sz w:val="24"/>
          <w:szCs w:val="20"/>
          <w:lang w:eastAsia="en-GB"/>
        </w:rPr>
      </w:pPr>
    </w:p>
    <w:p w14:paraId="044FFDA6" w14:textId="77777777" w:rsidR="00744C7E" w:rsidRPr="00744C7E" w:rsidRDefault="00744C7E" w:rsidP="00744C7E">
      <w:pPr>
        <w:spacing w:after="0" w:line="240" w:lineRule="auto"/>
        <w:jc w:val="center"/>
        <w:rPr>
          <w:rFonts w:ascii="Arial" w:eastAsia="Times New Roman" w:hAnsi="Arial" w:cs="Arial"/>
          <w:b/>
          <w:bCs/>
          <w:sz w:val="24"/>
          <w:szCs w:val="20"/>
          <w:lang w:eastAsia="en-GB"/>
        </w:rPr>
      </w:pPr>
    </w:p>
    <w:p w14:paraId="0BC2754B" w14:textId="77777777" w:rsidR="00744C7E" w:rsidRPr="00744C7E" w:rsidRDefault="00744C7E" w:rsidP="00744C7E">
      <w:pPr>
        <w:spacing w:after="0" w:line="240" w:lineRule="auto"/>
        <w:jc w:val="center"/>
        <w:rPr>
          <w:rFonts w:ascii="Arial" w:eastAsia="Times New Roman" w:hAnsi="Arial" w:cs="Arial"/>
          <w:b/>
          <w:bCs/>
          <w:sz w:val="24"/>
          <w:szCs w:val="20"/>
          <w:lang w:eastAsia="en-GB"/>
        </w:rPr>
      </w:pPr>
      <w:r w:rsidRPr="00744C7E">
        <w:rPr>
          <w:rFonts w:ascii="Arial" w:eastAsia="Times New Roman" w:hAnsi="Arial" w:cs="Arial"/>
          <w:b/>
          <w:bCs/>
          <w:sz w:val="24"/>
          <w:szCs w:val="20"/>
          <w:lang w:eastAsia="en-GB"/>
        </w:rPr>
        <w:t>NB This protocol does not apply for patients with Diabetes Insipidus</w:t>
      </w:r>
    </w:p>
    <w:p w14:paraId="3E1A6343" w14:textId="77777777" w:rsidR="00744C7E" w:rsidRPr="00744C7E" w:rsidRDefault="00744C7E" w:rsidP="00744C7E">
      <w:pPr>
        <w:spacing w:before="100" w:after="100" w:line="240" w:lineRule="auto"/>
        <w:jc w:val="both"/>
        <w:rPr>
          <w:rFonts w:ascii="Arial" w:eastAsia="Times New Roman" w:hAnsi="Arial" w:cs="Times New Roman"/>
          <w:sz w:val="24"/>
          <w:szCs w:val="20"/>
          <w:lang w:eastAsia="en-GB"/>
        </w:rPr>
      </w:pPr>
      <w:r w:rsidRPr="00744C7E">
        <w:rPr>
          <w:rFonts w:ascii="Arial" w:eastAsia="Times New Roman" w:hAnsi="Arial" w:cs="Times New Roman"/>
          <w:sz w:val="24"/>
          <w:szCs w:val="20"/>
          <w:lang w:eastAsia="en-GB"/>
        </w:rPr>
        <w:t>Reviewed Dr R Pryce, Dr D Hawkes 2014</w:t>
      </w:r>
    </w:p>
    <w:p w14:paraId="155ED0D7" w14:textId="77777777" w:rsidR="00744C7E" w:rsidRPr="00744C7E" w:rsidRDefault="00744C7E" w:rsidP="00744C7E">
      <w:pPr>
        <w:spacing w:before="100" w:after="100" w:line="240" w:lineRule="auto"/>
        <w:jc w:val="both"/>
        <w:rPr>
          <w:rFonts w:ascii="Arial" w:eastAsia="Times New Roman" w:hAnsi="Arial" w:cs="Times New Roman"/>
          <w:sz w:val="24"/>
          <w:szCs w:val="20"/>
          <w:lang w:eastAsia="en-GB"/>
        </w:rPr>
      </w:pPr>
    </w:p>
    <w:bookmarkEnd w:id="1"/>
    <w:p w14:paraId="717E973A" w14:textId="77777777" w:rsidR="00002686" w:rsidRDefault="00744C7E" w:rsidP="00744C7E">
      <w:r w:rsidRPr="00744C7E">
        <w:rPr>
          <w:rFonts w:ascii="Arial" w:eastAsia="Times New Roman" w:hAnsi="Arial" w:cs="Times New Roman"/>
          <w:b/>
          <w:sz w:val="24"/>
          <w:szCs w:val="20"/>
          <w:lang w:eastAsia="en-GB"/>
        </w:rPr>
        <w:br w:type="page"/>
      </w:r>
      <w:bookmarkStart w:id="2" w:name="_GoBack"/>
      <w:bookmarkEnd w:id="2"/>
    </w:p>
    <w:sectPr w:rsidR="00002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00608"/>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5A617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C84CC3"/>
    <w:multiLevelType w:val="hybridMultilevel"/>
    <w:tmpl w:val="F5C88E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7E"/>
    <w:rsid w:val="00002686"/>
    <w:rsid w:val="0074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7DD91C3"/>
  <w15:chartTrackingRefBased/>
  <w15:docId w15:val="{17760664-31EB-41F6-A438-4F574F6C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8" ma:contentTypeDescription="Create a new document." ma:contentTypeScope="" ma:versionID="e6ae8a16ba6b331621f2398f20f97760">
  <xsd:schema xmlns:xsd="http://www.w3.org/2001/XMLSchema" xmlns:xs="http://www.w3.org/2001/XMLSchema" xmlns:p="http://schemas.microsoft.com/office/2006/metadata/properties" xmlns:ns3="137ca15d-9ca5-4969-9050-6a8af13b1758" xmlns:ns4="14f886ef-4092-4ed8-a31e-891c76461312" targetNamespace="http://schemas.microsoft.com/office/2006/metadata/properties" ma:root="true" ma:fieldsID="ed8ebe53eb64908913ba5d63b21576de" ns3:_="" ns4:_="">
    <xsd:import namespace="137ca15d-9ca5-4969-9050-6a8af13b1758"/>
    <xsd:import namespace="14f886ef-4092-4ed8-a31e-891c764613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f886ef-4092-4ed8-a31e-891c764613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41840-C9C9-4644-936B-BC69F717B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14f886ef-4092-4ed8-a31e-891c7646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501E7-9B24-42C3-B4B9-043130CA2C71}">
  <ds:schemaRefs>
    <ds:schemaRef ds:uri="http://schemas.microsoft.com/sharepoint/v3/contenttype/forms"/>
  </ds:schemaRefs>
</ds:datastoreItem>
</file>

<file path=customXml/itemProps3.xml><?xml version="1.0" encoding="utf-8"?>
<ds:datastoreItem xmlns:ds="http://schemas.openxmlformats.org/officeDocument/2006/customXml" ds:itemID="{EAE87940-4D51-4B1E-837F-B7F67AB1E5C2}">
  <ds:schemaRefs>
    <ds:schemaRef ds:uri="http://purl.org/dc/dcmitype/"/>
    <ds:schemaRef ds:uri="137ca15d-9ca5-4969-9050-6a8af13b1758"/>
    <ds:schemaRef ds:uri="14f886ef-4092-4ed8-a31e-891c7646131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Schmidt (Aneurin Bevan UHB - Paediatrics)</dc:creator>
  <cp:keywords/>
  <dc:description/>
  <cp:lastModifiedBy>Marion Schmidt (Aneurin Bevan UHB - Paediatrics)</cp:lastModifiedBy>
  <cp:revision>1</cp:revision>
  <dcterms:created xsi:type="dcterms:W3CDTF">2020-12-07T19:07:00Z</dcterms:created>
  <dcterms:modified xsi:type="dcterms:W3CDTF">2020-12-07T19:09:00Z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0x010100804480DD28E28D48BA0DCAAE9381AA60</vt:lpwstr>
  </property>
</Properties>
</file>