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8C" w:rsidRDefault="00B2238C" w:rsidP="00892068">
      <w:pPr>
        <w:pStyle w:val="Heading1"/>
      </w:pPr>
    </w:p>
    <w:p w:rsidR="00892068" w:rsidRDefault="00892068" w:rsidP="00892068">
      <w:pPr>
        <w:pStyle w:val="Heading2"/>
        <w:rPr>
          <w:snapToGrid w:val="0"/>
          <w:sz w:val="28"/>
        </w:rPr>
      </w:pPr>
      <w:bookmarkStart w:id="0" w:name="misc1MANAGEMENT"/>
      <w:r>
        <w:rPr>
          <w:snapToGrid w:val="0"/>
          <w:sz w:val="28"/>
        </w:rPr>
        <w:t>Management of Hypoglycaemia (general)</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pStyle w:val="BodyText2"/>
        <w:spacing w:line="240" w:lineRule="auto"/>
      </w:pPr>
      <w:r>
        <w:t>Severe hypoglycaemia can result in convulsions and coma and should be treated promptly, It may occur in the following circumstances.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widowControl w:val="0"/>
        <w:numPr>
          <w:ilvl w:val="0"/>
          <w:numId w:val="4"/>
        </w:numPr>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rPr>
          <w:snapToGrid w:val="0"/>
          <w:color w:val="000000"/>
        </w:rPr>
      </w:pPr>
      <w:r>
        <w:rPr>
          <w:snapToGrid w:val="0"/>
          <w:color w:val="000000"/>
        </w:rPr>
        <w:t>In a diabetic child on insulin therapy</w:t>
      </w:r>
    </w:p>
    <w:p w:rsidR="00892068" w:rsidRDefault="00892068" w:rsidP="00892068">
      <w:pPr>
        <w:widowControl w:val="0"/>
        <w:numPr>
          <w:ilvl w:val="0"/>
          <w:numId w:val="4"/>
        </w:numPr>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rPr>
          <w:snapToGrid w:val="0"/>
          <w:color w:val="000000"/>
        </w:rPr>
      </w:pPr>
      <w:r>
        <w:rPr>
          <w:snapToGrid w:val="0"/>
          <w:color w:val="000000"/>
        </w:rPr>
        <w:t>Spontaneously, usually as a result of substrate deficiency during an inter-current illness, or more rarely due to an inborn error of metabolism.</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pStyle w:val="BodyText2"/>
        <w:spacing w:line="240" w:lineRule="auto"/>
      </w:pPr>
      <w:r>
        <w:t xml:space="preserve">Any child admitted with convulsions or altered consciousness should routinely have a near-patient blood glucose test done to exclude hypoglycaemia.  </w:t>
      </w:r>
    </w:p>
    <w:p w:rsidR="00892068" w:rsidRDefault="00892068" w:rsidP="00892068">
      <w:pPr>
        <w:pStyle w:val="Heading3"/>
        <w:rPr>
          <w:snapToGrid w:val="0"/>
        </w:rPr>
      </w:pPr>
    </w:p>
    <w:p w:rsidR="00892068" w:rsidRDefault="00892068" w:rsidP="00892068">
      <w:pPr>
        <w:pStyle w:val="Heading3"/>
        <w:rPr>
          <w:snapToGrid w:val="0"/>
        </w:rPr>
      </w:pPr>
      <w:r>
        <w:rPr>
          <w:snapToGrid w:val="0"/>
        </w:rPr>
        <w:t>Investigation</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In spontaneous hypoglycaemia (i.e. un-associated with insulin treatment for diabetes) blood should be drawn for confirmation of hypoglycaemia and to identify the cause - </w:t>
      </w:r>
    </w:p>
    <w:p w:rsidR="00892068" w:rsidRPr="004A704D" w:rsidRDefault="00892068" w:rsidP="00892068">
      <w:pPr>
        <w:spacing w:before="100" w:beforeAutospacing="1" w:after="100" w:afterAutospacing="1"/>
        <w:rPr>
          <w:rFonts w:ascii="Times New Roman" w:hAnsi="Times New Roman"/>
          <w:szCs w:val="24"/>
        </w:rPr>
      </w:pPr>
      <w:r w:rsidRPr="004A704D">
        <w:rPr>
          <w:rFonts w:cs="Arial"/>
          <w:b/>
          <w:bCs/>
          <w:sz w:val="20"/>
        </w:rPr>
        <w:t>First line tests</w:t>
      </w:r>
      <w:r w:rsidRPr="004A704D">
        <w:rPr>
          <w:rFonts w:cs="Arial"/>
          <w:sz w:val="20"/>
        </w:rPr>
        <w:t>:</w:t>
      </w:r>
      <w:r w:rsidRPr="004A704D">
        <w:rPr>
          <w:rFonts w:ascii="Times New Roman" w:hAnsi="Times New Roman"/>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98"/>
      </w:tblGrid>
      <w:tr w:rsidR="00892068" w:rsidRPr="004A704D" w:rsidTr="0098065F">
        <w:tc>
          <w:tcPr>
            <w:tcW w:w="238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Plasma glucose</w:t>
            </w:r>
            <w:r w:rsidRPr="004A704D">
              <w:rPr>
                <w:rFonts w:cs="Arial"/>
                <w:sz w:val="20"/>
              </w:rPr>
              <w:t>:</w:t>
            </w:r>
          </w:p>
        </w:tc>
        <w:tc>
          <w:tcPr>
            <w:tcW w:w="689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If the glucose is &lt;2.6mmol/L, further investigation is required (see second line tests).</w:t>
            </w:r>
          </w:p>
        </w:tc>
      </w:tr>
      <w:tr w:rsidR="00892068" w:rsidRPr="004A704D" w:rsidTr="0098065F">
        <w:tc>
          <w:tcPr>
            <w:tcW w:w="238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Plasma lactate</w:t>
            </w:r>
            <w:r w:rsidRPr="004A704D">
              <w:rPr>
                <w:rFonts w:cs="Arial"/>
                <w:sz w:val="20"/>
              </w:rPr>
              <w:t>:</w:t>
            </w:r>
          </w:p>
        </w:tc>
        <w:tc>
          <w:tcPr>
            <w:tcW w:w="689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ascii="Times New Roman" w:hAnsi="Times New Roman"/>
                <w:szCs w:val="24"/>
              </w:rPr>
            </w:pPr>
            <w:r w:rsidRPr="004A704D">
              <w:rPr>
                <w:rFonts w:cs="Arial"/>
                <w:sz w:val="20"/>
              </w:rPr>
              <w:t xml:space="preserve">Increased in metabolic liver disease, secondary to prolonged convulsions or glycogen storage disorders. </w:t>
            </w:r>
          </w:p>
        </w:tc>
      </w:tr>
      <w:tr w:rsidR="00892068" w:rsidRPr="004A704D" w:rsidTr="0098065F">
        <w:tc>
          <w:tcPr>
            <w:tcW w:w="238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U&amp;E</w:t>
            </w:r>
            <w:r w:rsidRPr="004A704D">
              <w:rPr>
                <w:rFonts w:cs="Arial"/>
                <w:sz w:val="20"/>
              </w:rPr>
              <w:t>:   </w:t>
            </w:r>
          </w:p>
        </w:tc>
        <w:tc>
          <w:tcPr>
            <w:tcW w:w="689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Hyponatraemia and hyperkalaemia are observed in either primary adrenal insufficiency of adrenal steroid biosynthetic disorders.</w:t>
            </w:r>
            <w:r w:rsidRPr="004A704D">
              <w:rPr>
                <w:rFonts w:cs="Arial"/>
                <w:sz w:val="20"/>
              </w:rPr>
              <w:br/>
              <w:t xml:space="preserve">Urea may be increased due to pre-renal uraemia caused by dehydration due to prolonged vomiting. </w:t>
            </w:r>
          </w:p>
        </w:tc>
      </w:tr>
      <w:tr w:rsidR="00892068" w:rsidRPr="004A704D" w:rsidTr="0098065F">
        <w:tc>
          <w:tcPr>
            <w:tcW w:w="238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LFTs</w:t>
            </w:r>
            <w:r w:rsidRPr="004A704D">
              <w:rPr>
                <w:rFonts w:cs="Arial"/>
                <w:sz w:val="20"/>
              </w:rPr>
              <w:t>:  </w:t>
            </w:r>
          </w:p>
        </w:tc>
        <w:tc>
          <w:tcPr>
            <w:tcW w:w="689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 xml:space="preserve">Abnormal liver enzymes e.g. hyperbilirubinaemia may suggest specific disorders. </w:t>
            </w:r>
          </w:p>
        </w:tc>
      </w:tr>
      <w:tr w:rsidR="00892068" w:rsidRPr="004A704D" w:rsidTr="0098065F">
        <w:tc>
          <w:tcPr>
            <w:tcW w:w="238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Bicarbonate</w:t>
            </w:r>
            <w:r w:rsidRPr="004A704D">
              <w:rPr>
                <w:rFonts w:cs="Arial"/>
                <w:sz w:val="20"/>
              </w:rPr>
              <w:t>:   </w:t>
            </w:r>
          </w:p>
        </w:tc>
        <w:tc>
          <w:tcPr>
            <w:tcW w:w="689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 xml:space="preserve">Reduced bicarbonate is suggestive of a metabolic acidosis. </w:t>
            </w:r>
          </w:p>
        </w:tc>
      </w:tr>
      <w:tr w:rsidR="00892068" w:rsidRPr="004A704D" w:rsidTr="0098065F">
        <w:tc>
          <w:tcPr>
            <w:tcW w:w="238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Cortisol</w:t>
            </w:r>
            <w:r w:rsidRPr="004A704D">
              <w:rPr>
                <w:rFonts w:cs="Arial"/>
                <w:sz w:val="20"/>
              </w:rPr>
              <w:t>:      </w:t>
            </w:r>
          </w:p>
        </w:tc>
        <w:tc>
          <w:tcPr>
            <w:tcW w:w="689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A low cortisol may be suggestive of adrenal insufficiency –</w:t>
            </w:r>
            <w:r w:rsidRPr="004A704D">
              <w:rPr>
                <w:rFonts w:cs="Arial"/>
                <w:i/>
                <w:iCs/>
                <w:sz w:val="20"/>
              </w:rPr>
              <w:t xml:space="preserve"> interpret neonatal results with caution; there is no established reference range for the Abbott Architect.</w:t>
            </w:r>
          </w:p>
        </w:tc>
      </w:tr>
      <w:tr w:rsidR="00892068" w:rsidRPr="004A704D" w:rsidTr="0098065F">
        <w:tc>
          <w:tcPr>
            <w:tcW w:w="238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b/>
                <w:bCs/>
                <w:szCs w:val="24"/>
              </w:rPr>
            </w:pPr>
            <w:r w:rsidRPr="004A704D">
              <w:rPr>
                <w:rFonts w:cs="Arial"/>
                <w:b/>
                <w:bCs/>
                <w:sz w:val="20"/>
              </w:rPr>
              <w:t>Plasma Ammonia</w:t>
            </w:r>
            <w:r w:rsidRPr="004A704D">
              <w:rPr>
                <w:rFonts w:cs="Arial"/>
                <w:sz w:val="20"/>
              </w:rPr>
              <w:t>:</w:t>
            </w:r>
          </w:p>
        </w:tc>
        <w:tc>
          <w:tcPr>
            <w:tcW w:w="6898"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 xml:space="preserve">Increased in liver dysfunction, and hyperinsulinism with </w:t>
            </w:r>
            <w:r>
              <w:rPr>
                <w:rFonts w:cs="Arial"/>
                <w:sz w:val="20"/>
              </w:rPr>
              <w:t>hyperammon</w:t>
            </w:r>
            <w:r w:rsidRPr="004A704D">
              <w:rPr>
                <w:rFonts w:cs="Arial"/>
                <w:sz w:val="20"/>
              </w:rPr>
              <w:t>aemia.</w:t>
            </w:r>
          </w:p>
        </w:tc>
      </w:tr>
    </w:tbl>
    <w:p w:rsidR="00892068" w:rsidRPr="004A704D" w:rsidRDefault="00892068" w:rsidP="00892068">
      <w:pPr>
        <w:spacing w:before="100" w:beforeAutospacing="1" w:after="100" w:afterAutospacing="1"/>
        <w:rPr>
          <w:rFonts w:ascii="Times New Roman" w:hAnsi="Times New Roman"/>
          <w:szCs w:val="24"/>
        </w:rPr>
      </w:pPr>
      <w:r w:rsidRPr="004A704D">
        <w:rPr>
          <w:rFonts w:cs="Arial"/>
          <w:b/>
          <w:bCs/>
          <w:sz w:val="20"/>
        </w:rPr>
        <w:t>Second line tests (if the glucose is confirmed to be &lt;2.6mmol/L)</w:t>
      </w:r>
      <w:r w:rsidRPr="004A704D">
        <w:rPr>
          <w:rFonts w:ascii="Times New Roman" w:hAnsi="Times New Roman"/>
          <w:szCs w:val="24"/>
        </w:rPr>
        <w:t> </w:t>
      </w:r>
      <w:r w:rsidRPr="004A704D">
        <w:rPr>
          <w:rFonts w:cs="Arial"/>
          <w:color w:val="0000FF"/>
          <w:sz w:val="20"/>
        </w:rPr>
        <w:t> </w:t>
      </w:r>
      <w:r w:rsidRPr="004A704D">
        <w:rPr>
          <w:rFonts w:ascii="Times New Roman" w:hAnsi="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861"/>
      </w:tblGrid>
      <w:tr w:rsidR="00892068" w:rsidRPr="004A704D" w:rsidTr="0098065F">
        <w:tc>
          <w:tcPr>
            <w:tcW w:w="2383"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ascii="Times New Roman" w:hAnsi="Times New Roman"/>
                <w:sz w:val="20"/>
              </w:rPr>
            </w:pPr>
            <w:r w:rsidRPr="004A704D">
              <w:rPr>
                <w:rFonts w:cs="Arial"/>
                <w:b/>
                <w:bCs/>
                <w:sz w:val="20"/>
              </w:rPr>
              <w:t xml:space="preserve">NEFA &amp; </w:t>
            </w:r>
            <w:r w:rsidRPr="004A704D">
              <w:rPr>
                <w:rFonts w:cs="Arial"/>
                <w:b/>
                <w:bCs/>
                <w:sz w:val="20"/>
                <w:lang w:val="el-GR"/>
              </w:rPr>
              <w:t>β</w:t>
            </w:r>
            <w:r w:rsidRPr="004A704D">
              <w:rPr>
                <w:rFonts w:cs="Arial"/>
                <w:b/>
                <w:bCs/>
                <w:sz w:val="20"/>
              </w:rPr>
              <w:t>OHB</w:t>
            </w:r>
            <w:r w:rsidRPr="004A704D">
              <w:rPr>
                <w:rFonts w:cs="Arial"/>
                <w:sz w:val="20"/>
              </w:rPr>
              <w:t>:   </w:t>
            </w:r>
          </w:p>
        </w:tc>
        <w:tc>
          <w:tcPr>
            <w:tcW w:w="6861"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i/>
                <w:iCs/>
                <w:sz w:val="20"/>
              </w:rPr>
              <w:t>Will be analysed ASAP after confirmation of a low glucose</w:t>
            </w:r>
            <w:r w:rsidRPr="004A704D">
              <w:rPr>
                <w:rFonts w:cs="Arial"/>
                <w:sz w:val="20"/>
              </w:rPr>
              <w:t>.  Lipolysis is usually suppressed in hyperinsulinism, whereas in fatty acid oxidation defects ketogenesis is defective.</w:t>
            </w:r>
            <w:r w:rsidRPr="004A704D">
              <w:rPr>
                <w:rFonts w:cs="Arial"/>
                <w:sz w:val="20"/>
              </w:rPr>
              <w:br/>
              <w:t>A ratio of NEFA:</w:t>
            </w:r>
            <w:r w:rsidRPr="004A704D">
              <w:rPr>
                <w:rFonts w:cs="Arial"/>
                <w:sz w:val="20"/>
                <w:lang w:val="el-GR"/>
              </w:rPr>
              <w:t>β</w:t>
            </w:r>
            <w:r w:rsidRPr="004A704D">
              <w:rPr>
                <w:rFonts w:cs="Arial"/>
                <w:sz w:val="20"/>
              </w:rPr>
              <w:t xml:space="preserve">OHB is usually &lt;2.  Levels above this are suggestive of a fat oxidation defect. </w:t>
            </w:r>
          </w:p>
        </w:tc>
      </w:tr>
      <w:tr w:rsidR="00892068" w:rsidRPr="004A704D" w:rsidTr="0098065F">
        <w:tc>
          <w:tcPr>
            <w:tcW w:w="2383"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b/>
                <w:sz w:val="20"/>
              </w:rPr>
            </w:pPr>
            <w:r w:rsidRPr="004A704D">
              <w:rPr>
                <w:rFonts w:cs="Arial"/>
                <w:b/>
                <w:sz w:val="20"/>
              </w:rPr>
              <w:t>Insulin &amp; C-peptide:   </w:t>
            </w:r>
          </w:p>
        </w:tc>
        <w:tc>
          <w:tcPr>
            <w:tcW w:w="6861"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Will be inappropriately increased in hyperinsulinism.  The C-peptide identifies the insulin source as exogenous or endogenous.</w:t>
            </w:r>
          </w:p>
        </w:tc>
      </w:tr>
      <w:tr w:rsidR="00892068" w:rsidRPr="004A704D" w:rsidTr="0098065F">
        <w:tc>
          <w:tcPr>
            <w:tcW w:w="2383"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ACTH</w:t>
            </w:r>
            <w:r w:rsidRPr="004A704D">
              <w:rPr>
                <w:rFonts w:cs="Arial"/>
                <w:sz w:val="20"/>
              </w:rPr>
              <w:t>:  </w:t>
            </w:r>
          </w:p>
        </w:tc>
        <w:tc>
          <w:tcPr>
            <w:tcW w:w="6861"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Only analysed if cortisol is below 100mmol/L.  An elevated ACTH with low cortisol confirms adrenal insufficiency.</w:t>
            </w:r>
          </w:p>
        </w:tc>
      </w:tr>
      <w:tr w:rsidR="00892068" w:rsidRPr="004A704D" w:rsidTr="0098065F">
        <w:tc>
          <w:tcPr>
            <w:tcW w:w="2383"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Growth hormone</w:t>
            </w:r>
            <w:r w:rsidRPr="004A704D">
              <w:rPr>
                <w:rFonts w:cs="Arial"/>
                <w:sz w:val="20"/>
              </w:rPr>
              <w:t>:</w:t>
            </w:r>
          </w:p>
        </w:tc>
        <w:tc>
          <w:tcPr>
            <w:tcW w:w="6861"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May indicate pan-hypopituitarism or isolated GH deficiency.</w:t>
            </w:r>
          </w:p>
        </w:tc>
      </w:tr>
      <w:tr w:rsidR="00892068" w:rsidRPr="004A704D" w:rsidTr="0098065F">
        <w:tc>
          <w:tcPr>
            <w:tcW w:w="2383"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Urine organic acids</w:t>
            </w:r>
            <w:r w:rsidRPr="004A704D">
              <w:rPr>
                <w:rFonts w:cs="Arial"/>
                <w:sz w:val="20"/>
              </w:rPr>
              <w:t>:   </w:t>
            </w:r>
          </w:p>
        </w:tc>
        <w:tc>
          <w:tcPr>
            <w:tcW w:w="6861"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May suggest a specific organic acid or fatty acid defect.</w:t>
            </w:r>
          </w:p>
        </w:tc>
      </w:tr>
      <w:tr w:rsidR="00892068" w:rsidRPr="004A704D" w:rsidTr="0098065F">
        <w:tc>
          <w:tcPr>
            <w:tcW w:w="2383"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lastRenderedPageBreak/>
              <w:t>Serum amino acids</w:t>
            </w:r>
            <w:r w:rsidRPr="004A704D">
              <w:rPr>
                <w:rFonts w:cs="Arial"/>
                <w:sz w:val="20"/>
              </w:rPr>
              <w:t>:     </w:t>
            </w:r>
          </w:p>
        </w:tc>
        <w:tc>
          <w:tcPr>
            <w:tcW w:w="6861"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sz w:val="20"/>
              </w:rPr>
              <w:t>May suggest an amino acid defect.</w:t>
            </w:r>
          </w:p>
        </w:tc>
      </w:tr>
      <w:tr w:rsidR="00892068" w:rsidRPr="004A704D" w:rsidTr="0098065F">
        <w:tc>
          <w:tcPr>
            <w:tcW w:w="2383"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cs="Arial"/>
                <w:sz w:val="20"/>
              </w:rPr>
            </w:pPr>
            <w:r w:rsidRPr="004A704D">
              <w:rPr>
                <w:rFonts w:cs="Arial"/>
                <w:b/>
                <w:bCs/>
                <w:sz w:val="20"/>
              </w:rPr>
              <w:t>Acylcarnitines</w:t>
            </w:r>
            <w:r w:rsidRPr="004A704D">
              <w:rPr>
                <w:rFonts w:cs="Arial"/>
                <w:sz w:val="20"/>
              </w:rPr>
              <w:t>:</w:t>
            </w:r>
          </w:p>
        </w:tc>
        <w:tc>
          <w:tcPr>
            <w:tcW w:w="6861" w:type="dxa"/>
            <w:tcBorders>
              <w:top w:val="single" w:sz="4" w:space="0" w:color="auto"/>
              <w:left w:val="single" w:sz="4" w:space="0" w:color="auto"/>
              <w:bottom w:val="single" w:sz="4" w:space="0" w:color="auto"/>
              <w:right w:val="single" w:sz="4" w:space="0" w:color="auto"/>
            </w:tcBorders>
            <w:shd w:val="clear" w:color="auto" w:fill="auto"/>
          </w:tcPr>
          <w:p w:rsidR="00892068" w:rsidRPr="004A704D" w:rsidRDefault="00892068" w:rsidP="0098065F">
            <w:pPr>
              <w:rPr>
                <w:rFonts w:ascii="Times New Roman" w:hAnsi="Times New Roman"/>
                <w:szCs w:val="24"/>
              </w:rPr>
            </w:pPr>
            <w:r w:rsidRPr="004A704D">
              <w:rPr>
                <w:rFonts w:cs="Arial"/>
                <w:i/>
                <w:iCs/>
                <w:sz w:val="20"/>
              </w:rPr>
              <w:t>Only analysed if contacted by the Clinician.  Guthrie cards will be stored until all other results are available (~ 6 months)</w:t>
            </w:r>
            <w:r w:rsidRPr="004A704D">
              <w:rPr>
                <w:rFonts w:cs="Arial"/>
                <w:sz w:val="20"/>
              </w:rPr>
              <w:t>.  Abnormal acylcarnitines may suggest a specific fatty acid oxidation defect.</w:t>
            </w:r>
          </w:p>
        </w:tc>
      </w:tr>
    </w:tbl>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All the necessary samples are contained within the </w:t>
      </w:r>
      <w:r>
        <w:rPr>
          <w:b/>
          <w:snapToGrid w:val="0"/>
          <w:color w:val="000000"/>
        </w:rPr>
        <w:t>'Hypoglycaemia Box'</w:t>
      </w:r>
      <w:r>
        <w:rPr>
          <w:snapToGrid w:val="0"/>
          <w:color w:val="000000"/>
        </w:rPr>
        <w:t xml:space="preserve"> located in the Children's Assessment Unit and on the paediatric wards. The box also includes a container for collection of the next voided urine sample which should be sent for analysis of organic acids and ketones </w:t>
      </w:r>
      <w:r>
        <w:rPr>
          <w:b/>
          <w:snapToGrid w:val="0"/>
          <w:color w:val="000000"/>
        </w:rPr>
        <w:t>(Please ensure that urine is sent to Biochemistry and not to microbiology).</w:t>
      </w:r>
      <w:r>
        <w:rPr>
          <w:snapToGrid w:val="0"/>
          <w:color w:val="000000"/>
        </w:rPr>
        <w:t xml:space="preserve"> A pre-printed request form kept with the Hypoglycaemia box should be sent with the samples – Please ensure that you answer the questions on the back of the ‘HOG’ request form as these are an essential aid to interpretation of the results.</w:t>
      </w:r>
    </w:p>
    <w:p w:rsidR="00892068" w:rsidRDefault="00892068" w:rsidP="00892068">
      <w:pPr>
        <w:spacing w:before="100" w:beforeAutospacing="1" w:after="100" w:afterAutospacing="1"/>
        <w:rPr>
          <w:rFonts w:cs="Arial"/>
          <w:sz w:val="20"/>
        </w:rPr>
      </w:pPr>
    </w:p>
    <w:p w:rsidR="00892068" w:rsidRDefault="00892068" w:rsidP="00892068">
      <w:pPr>
        <w:pStyle w:val="Heading3"/>
        <w:rPr>
          <w:snapToGrid w:val="0"/>
        </w:rPr>
      </w:pPr>
      <w:r>
        <w:rPr>
          <w:snapToGrid w:val="0"/>
        </w:rPr>
        <w:t>Management</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snapToGrid w:val="0"/>
          <w:color w:val="000000"/>
        </w:rPr>
        <w:t xml:space="preserve">If oral glucose (including glucogel) cannot be used, intravenous glucose should be given, but </w:t>
      </w:r>
      <w:r>
        <w:rPr>
          <w:b/>
          <w:snapToGrid w:val="0"/>
          <w:color w:val="000000"/>
        </w:rPr>
        <w:t>hypertonic (50%) glucose solutions can be dangerous and should be avoided</w:t>
      </w:r>
      <w:r>
        <w:rPr>
          <w:snapToGrid w:val="0"/>
          <w:color w:val="000000"/>
        </w:rPr>
        <w:t>.</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rsidR="00892068" w:rsidRDefault="00892068" w:rsidP="00892068">
      <w:pPr>
        <w:pStyle w:val="BodyText2"/>
      </w:pPr>
      <w:r>
        <w:t>The following regime is suggested:</w:t>
      </w:r>
    </w:p>
    <w:p w:rsidR="00892068" w:rsidRDefault="00892068" w:rsidP="00892068">
      <w:pPr>
        <w:widowControl w:val="0"/>
        <w:numPr>
          <w:ilvl w:val="0"/>
          <w:numId w:val="12"/>
        </w:numPr>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rPr>
          <w:snapToGrid w:val="0"/>
          <w:color w:val="000000"/>
        </w:rPr>
      </w:pPr>
      <w:r>
        <w:rPr>
          <w:snapToGrid w:val="0"/>
          <w:color w:val="000000"/>
        </w:rPr>
        <w:t>Give 10% Dextrose intravenously, 2 ml/Kg (200 mg/Kg) over 3 minutes.</w:t>
      </w:r>
    </w:p>
    <w:p w:rsidR="00892068" w:rsidRDefault="00892068" w:rsidP="00892068">
      <w:pPr>
        <w:widowControl w:val="0"/>
        <w:numPr>
          <w:ilvl w:val="0"/>
          <w:numId w:val="12"/>
        </w:numPr>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rPr>
          <w:snapToGrid w:val="0"/>
          <w:color w:val="000000"/>
        </w:rPr>
      </w:pPr>
      <w:r>
        <w:rPr>
          <w:snapToGrid w:val="0"/>
          <w:color w:val="000000"/>
        </w:rPr>
        <w:t>Continue with the glucose infusion intravenously at a rate of 0.1 ml/Kg/minute.</w:t>
      </w:r>
    </w:p>
    <w:p w:rsidR="00892068" w:rsidRDefault="00892068" w:rsidP="00892068">
      <w:pPr>
        <w:widowControl w:val="0"/>
        <w:numPr>
          <w:ilvl w:val="0"/>
          <w:numId w:val="12"/>
        </w:numPr>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rPr>
          <w:snapToGrid w:val="0"/>
        </w:rPr>
      </w:pPr>
      <w:r>
        <w:rPr>
          <w:snapToGrid w:val="0"/>
        </w:rPr>
        <w:t>Measure glucose concentration by Dextrostix after 4-5 minutes and adjust glucose infusion to maintain the blood glucose at 5-8 mmol/L and no higher.</w:t>
      </w:r>
    </w:p>
    <w:p w:rsidR="00892068" w:rsidRPr="00B73AD6" w:rsidRDefault="00892068" w:rsidP="00892068">
      <w:pPr>
        <w:pStyle w:val="NormalWeb"/>
        <w:numPr>
          <w:ilvl w:val="0"/>
          <w:numId w:val="13"/>
        </w:numPr>
        <w:tabs>
          <w:tab w:val="left" w:pos="4150"/>
          <w:tab w:val="left" w:pos="8307"/>
        </w:tabs>
        <w:spacing w:before="0" w:after="0"/>
        <w:jc w:val="both"/>
      </w:pPr>
      <w:r>
        <w:rPr>
          <w:snapToGrid w:val="0"/>
          <w:color w:val="000000"/>
        </w:rPr>
        <w:t xml:space="preserve">    If hypopituitarism is suspected also give  Hydrocortisone intravenously.(</w:t>
      </w:r>
      <w:r w:rsidRPr="00B73AD6">
        <w:t xml:space="preserve"> </w:t>
      </w:r>
      <w:r>
        <w:t xml:space="preserve">&lt; 1 year 25mg, 1-5 years 50 mg, &gt;5 years 100mg) </w:t>
      </w:r>
    </w:p>
    <w:p w:rsidR="00892068" w:rsidRDefault="00892068" w:rsidP="00892068">
      <w:pPr>
        <w:widowControl w:val="0"/>
        <w:numPr>
          <w:ilvl w:val="0"/>
          <w:numId w:val="12"/>
        </w:numPr>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jc w:val="both"/>
        <w:rPr>
          <w:snapToGrid w:val="0"/>
          <w:color w:val="000000"/>
        </w:rPr>
      </w:pPr>
      <w:r>
        <w:rPr>
          <w:snapToGrid w:val="0"/>
          <w:color w:val="000000"/>
        </w:rPr>
        <w:t>If there is no improvement in the state of consciousness after normal glucose concentration is restored an alternative explanation should be sought.</w:t>
      </w:r>
    </w:p>
    <w:p w:rsidR="00892068" w:rsidRDefault="00892068" w:rsidP="00892068">
      <w:pPr>
        <w:widowControl w:val="0"/>
        <w:numPr>
          <w:ilvl w:val="0"/>
          <w:numId w:val="12"/>
        </w:numPr>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rPr>
          <w:snapToGrid w:val="0"/>
          <w:color w:val="000000"/>
        </w:rPr>
      </w:pPr>
      <w:r>
        <w:rPr>
          <w:snapToGrid w:val="0"/>
          <w:color w:val="000000"/>
        </w:rPr>
        <w:t>Do not give Glucagon unless venous access is not possible or is lost.</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r>
        <w:t>Authors: Dr A Webber, Dr J Barton, July 2002</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Reviewed Dr Barton 2005,</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Reviewed Dr Pryce Dr Hawkes 2014</w:t>
      </w:r>
    </w:p>
    <w:bookmarkEnd w:id="0"/>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8"/>
        </w:rPr>
        <w:sectPr w:rsidR="00892068" w:rsidSect="00DF3B8B">
          <w:headerReference w:type="default" r:id="rId7"/>
          <w:headerReference w:type="first" r:id="rId8"/>
          <w:footerReference w:type="first" r:id="rId9"/>
          <w:pgSz w:w="11908" w:h="16833" w:code="9"/>
          <w:pgMar w:top="1440" w:right="1080" w:bottom="1440" w:left="1080" w:header="794" w:footer="794" w:gutter="0"/>
          <w:cols w:space="720"/>
          <w:noEndnote/>
          <w:docGrid w:linePitch="326"/>
        </w:sectPr>
      </w:pPr>
    </w:p>
    <w:p w:rsidR="00892068" w:rsidRDefault="00892068" w:rsidP="00892068">
      <w:pPr>
        <w:pStyle w:val="Heading1"/>
        <w:rPr>
          <w:color w:val="000000"/>
        </w:rPr>
      </w:pPr>
      <w:bookmarkStart w:id="1" w:name="misc1FASTING7"/>
      <w:r>
        <w:lastRenderedPageBreak/>
        <w:t>7</w:t>
      </w:r>
      <w:r>
        <w:tab/>
        <w:t>Prolonged Fasting in the Investigation of Hypoglycaemia or</w:t>
      </w:r>
      <w:r>
        <w:rPr>
          <w:color w:val="000000"/>
        </w:rPr>
        <w:t xml:space="preserve"> </w:t>
      </w:r>
      <w:r>
        <w:rPr>
          <w:color w:val="000000"/>
        </w:rPr>
        <w:tab/>
        <w:t>Suspected Metabolic Disease</w:t>
      </w:r>
    </w:p>
    <w:p w:rsidR="00892068" w:rsidRDefault="00892068" w:rsidP="00892068">
      <w:pPr>
        <w:pStyle w:val="BodySingle"/>
        <w:widowControl w:val="0"/>
        <w:tabs>
          <w:tab w:val="left" w:pos="720"/>
          <w:tab w:val="left" w:pos="1440"/>
          <w:tab w:val="left" w:pos="2160"/>
          <w:tab w:val="left" w:pos="2880"/>
          <w:tab w:val="left" w:pos="3600"/>
          <w:tab w:val="left" w:pos="4150"/>
          <w:tab w:val="left" w:pos="4320"/>
          <w:tab w:val="left" w:pos="5040"/>
          <w:tab w:val="left" w:pos="5760"/>
          <w:tab w:val="left" w:pos="6480"/>
          <w:tab w:val="left" w:pos="7200"/>
          <w:tab w:val="left" w:pos="7920"/>
          <w:tab w:val="left" w:pos="8640"/>
        </w:tabs>
        <w:rPr>
          <w:rFonts w:ascii="Arial" w:hAnsi="Arial"/>
        </w:rPr>
      </w:pPr>
      <w:r>
        <w:rPr>
          <w:rFonts w:ascii="Arial" w:hAnsi="Arial"/>
        </w:rPr>
        <w:t>(Morris et al., Arch Dis Child 75:115-119 (1996)</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Monitoring the metabolic and endocrine changes following the withdrawal of dietary energy can identify or exclude a number of serious defects in children who present with suspected or documented hypoglycaemia. The procedure, however, is time-consuming and may provide an inadequate 'stress' resulting in failure to reproduce hypoglycaemia. A diagnosis is therefore best achieved by measuring hormone and metabolite concentrations in blood and organic acids in urine </w:t>
      </w:r>
      <w:r>
        <w:rPr>
          <w:b/>
          <w:snapToGrid w:val="0"/>
          <w:color w:val="000000"/>
        </w:rPr>
        <w:t>during the presenting episode</w:t>
      </w:r>
      <w:r>
        <w:rPr>
          <w:snapToGrid w:val="0"/>
          <w:color w:val="000000"/>
        </w:rPr>
        <w:t xml:space="preserve"> as described in the previous section.</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8"/>
        </w:rPr>
      </w:pPr>
    </w:p>
    <w:p w:rsidR="00892068" w:rsidRDefault="00892068" w:rsidP="00892068">
      <w:pPr>
        <w:pStyle w:val="BodyText2"/>
        <w:spacing w:line="240" w:lineRule="auto"/>
      </w:pPr>
      <w:r>
        <w:t>A prolonged fast is an elective procedure and should only be undertaken when a child is well and has previously been consuming their normal diet. The maximum duration of a diagnostic fast is determined by the age of the child:-</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ab/>
      </w:r>
      <w:r>
        <w:rPr>
          <w:snapToGrid w:val="0"/>
          <w:color w:val="000000"/>
        </w:rPr>
        <w:tab/>
      </w:r>
      <w:r>
        <w:rPr>
          <w:snapToGrid w:val="0"/>
          <w:color w:val="000000"/>
        </w:rPr>
        <w:tab/>
        <w:t>&lt; 6 months</w:t>
      </w:r>
      <w:r>
        <w:rPr>
          <w:snapToGrid w:val="0"/>
          <w:color w:val="000000"/>
        </w:rPr>
        <w:tab/>
      </w:r>
      <w:r>
        <w:rPr>
          <w:snapToGrid w:val="0"/>
          <w:color w:val="000000"/>
        </w:rPr>
        <w:tab/>
        <w:t>8 hours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ab/>
      </w:r>
      <w:r>
        <w:rPr>
          <w:snapToGrid w:val="0"/>
          <w:color w:val="000000"/>
        </w:rPr>
        <w:tab/>
      </w:r>
      <w:r>
        <w:rPr>
          <w:snapToGrid w:val="0"/>
          <w:color w:val="000000"/>
        </w:rPr>
        <w:tab/>
        <w:t>6-8 months</w:t>
      </w:r>
      <w:r>
        <w:rPr>
          <w:snapToGrid w:val="0"/>
          <w:color w:val="000000"/>
        </w:rPr>
        <w:tab/>
      </w:r>
      <w:r>
        <w:rPr>
          <w:snapToGrid w:val="0"/>
          <w:color w:val="000000"/>
        </w:rPr>
        <w:tab/>
        <w:t>12 hours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ab/>
      </w:r>
      <w:r>
        <w:rPr>
          <w:snapToGrid w:val="0"/>
          <w:color w:val="000000"/>
        </w:rPr>
        <w:tab/>
      </w:r>
      <w:r>
        <w:rPr>
          <w:snapToGrid w:val="0"/>
          <w:color w:val="000000"/>
        </w:rPr>
        <w:tab/>
        <w:t>8-12 months</w:t>
      </w:r>
      <w:r>
        <w:rPr>
          <w:snapToGrid w:val="0"/>
          <w:color w:val="000000"/>
        </w:rPr>
        <w:tab/>
      </w:r>
      <w:r>
        <w:rPr>
          <w:snapToGrid w:val="0"/>
          <w:color w:val="000000"/>
        </w:rPr>
        <w:tab/>
        <w:t>16 hours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ab/>
      </w:r>
      <w:r>
        <w:rPr>
          <w:snapToGrid w:val="0"/>
          <w:color w:val="000000"/>
        </w:rPr>
        <w:tab/>
      </w:r>
      <w:r>
        <w:rPr>
          <w:snapToGrid w:val="0"/>
          <w:color w:val="000000"/>
        </w:rPr>
        <w:tab/>
        <w:t>1-2 years</w:t>
      </w:r>
      <w:r>
        <w:rPr>
          <w:snapToGrid w:val="0"/>
          <w:color w:val="000000"/>
        </w:rPr>
        <w:tab/>
      </w:r>
      <w:r>
        <w:rPr>
          <w:snapToGrid w:val="0"/>
          <w:color w:val="000000"/>
        </w:rPr>
        <w:tab/>
        <w:t>18 hours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ab/>
      </w:r>
      <w:r>
        <w:rPr>
          <w:snapToGrid w:val="0"/>
          <w:color w:val="000000"/>
        </w:rPr>
        <w:tab/>
      </w:r>
      <w:r>
        <w:rPr>
          <w:snapToGrid w:val="0"/>
          <w:color w:val="000000"/>
        </w:rPr>
        <w:tab/>
        <w:t>2-7 years</w:t>
      </w:r>
      <w:r>
        <w:rPr>
          <w:snapToGrid w:val="0"/>
          <w:color w:val="000000"/>
        </w:rPr>
        <w:tab/>
      </w:r>
      <w:r>
        <w:rPr>
          <w:snapToGrid w:val="0"/>
          <w:color w:val="000000"/>
        </w:rPr>
        <w:tab/>
        <w:t>20 hours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ab/>
      </w:r>
      <w:r>
        <w:rPr>
          <w:snapToGrid w:val="0"/>
          <w:color w:val="000000"/>
        </w:rPr>
        <w:tab/>
      </w:r>
      <w:r>
        <w:rPr>
          <w:snapToGrid w:val="0"/>
          <w:color w:val="000000"/>
        </w:rPr>
        <w:tab/>
        <w:t>&gt; 7 years</w:t>
      </w:r>
      <w:r>
        <w:rPr>
          <w:snapToGrid w:val="0"/>
          <w:color w:val="000000"/>
        </w:rPr>
        <w:tab/>
      </w:r>
      <w:r>
        <w:rPr>
          <w:snapToGrid w:val="0"/>
          <w:color w:val="000000"/>
        </w:rPr>
        <w:tab/>
        <w:t>24 hours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pStyle w:val="BodyText2"/>
        <w:spacing w:line="240" w:lineRule="auto"/>
      </w:pPr>
      <w:r>
        <w:t>In the young infant the fast should normally begin at 06.00 am but in the older child can usually commence overnight unless the history suggests hypoglycaemia may occur after a shorter period of fasting. The investigation should be scheduled to allow samples to arrive in the laboratory within normal working hours. The lab should have been notified in advance and all samples should be clearly labelled to include the time of the sample in relation to the fast duration.</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pStyle w:val="BodyText2"/>
        <w:spacing w:line="240" w:lineRule="auto"/>
      </w:pPr>
      <w:r>
        <w:t>A secure IV cannula should be in place to allow blood samples to be drawn at intervals and hypoglycaemia to be treated should it occur. Water is allowed during the investigation but no calories should be consumed. The fast must be terminated prior to the time planned if hypoglycaemia occurs or the child becomes unwell (e.g. encephalopathic), or if IV access is lost.</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Blood glucose should be monitored at hourly intervals from 06.00 am (using calibrated glucose meter) and at least 3 blood samples obtained during the course of the fast for measurement of metabolite and hormone levels (precise timing should be agreed with the consultant). </w:t>
      </w:r>
      <w:r>
        <w:rPr>
          <w:b/>
          <w:snapToGrid w:val="0"/>
          <w:color w:val="000000"/>
        </w:rPr>
        <w:t>It is essential that blood is obtained for analysis before hypoglycaemia is corrected</w:t>
      </w:r>
      <w:r>
        <w:rPr>
          <w:snapToGrid w:val="0"/>
          <w:color w:val="000000"/>
        </w:rPr>
        <w:t xml:space="preserve"> or the fast terminated for any reason. The last urine sample passed during the fast or after correction of hypoglycaemia should also be collected for organic acid estimation. </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pStyle w:val="BodyTextIndent2"/>
        <w:spacing w:line="240" w:lineRule="auto"/>
      </w:pPr>
      <w:r>
        <w:t>Intermediate fasting samples request -</w:t>
      </w:r>
      <w:r>
        <w:tab/>
        <w:t>Glucose, Lactate, Pyruvate, 3-</w:t>
      </w:r>
      <w:r>
        <w:tab/>
      </w:r>
      <w:r>
        <w:tab/>
      </w:r>
      <w:r>
        <w:tab/>
      </w:r>
      <w:r>
        <w:tab/>
      </w:r>
      <w:r>
        <w:tab/>
      </w:r>
      <w:r>
        <w:tab/>
      </w:r>
      <w:r>
        <w:tab/>
        <w:t>OH butyrate, free fatty acids.</w:t>
      </w:r>
    </w:p>
    <w:p w:rsidR="00892068" w:rsidRDefault="00892068" w:rsidP="00892068">
      <w:pPr>
        <w:pStyle w:val="BodyTextIndent2"/>
        <w:tabs>
          <w:tab w:val="left" w:pos="3600"/>
          <w:tab w:val="left" w:pos="4150"/>
        </w:tabs>
        <w:spacing w:line="240" w:lineRule="auto"/>
      </w:pPr>
      <w:r>
        <w:lastRenderedPageBreak/>
        <w:t xml:space="preserve">Final fasting sample - </w:t>
      </w:r>
      <w:r>
        <w:tab/>
      </w:r>
      <w:r>
        <w:tab/>
      </w:r>
      <w:r>
        <w:tab/>
      </w:r>
      <w:r>
        <w:tab/>
        <w:t>Glucose, Lactate, Pyruvate, 3-</w:t>
      </w:r>
      <w:r>
        <w:tab/>
      </w:r>
      <w:r>
        <w:tab/>
      </w:r>
      <w:r>
        <w:tab/>
      </w:r>
      <w:r>
        <w:tab/>
        <w:t xml:space="preserve">OH butyrate, Free fatty acids, </w:t>
      </w:r>
      <w:r>
        <w:tab/>
      </w:r>
      <w:r>
        <w:tab/>
      </w:r>
      <w:r>
        <w:tab/>
      </w:r>
      <w:r>
        <w:tab/>
        <w:t xml:space="preserve">Insulin, Cortisol, Growth </w:t>
      </w:r>
      <w:r>
        <w:tab/>
      </w:r>
      <w:r>
        <w:tab/>
      </w:r>
      <w:r>
        <w:tab/>
      </w:r>
      <w:r>
        <w:tab/>
      </w:r>
      <w:r>
        <w:tab/>
        <w:t xml:space="preserve">Hormone, Filter paper blood </w:t>
      </w:r>
      <w:r>
        <w:tab/>
      </w:r>
      <w:r>
        <w:tab/>
      </w:r>
      <w:r>
        <w:tab/>
      </w:r>
      <w:r>
        <w:tab/>
        <w:t>spots for Acyl Carnitines.</w:t>
      </w: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92068" w:rsidRDefault="00892068" w:rsidP="00892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Pr>
          <w:b/>
          <w:snapToGrid w:val="0"/>
          <w:color w:val="000000"/>
        </w:rPr>
        <w:t>The child must have a meal and normal post-prandial blood glucose before going home.</w:t>
      </w:r>
    </w:p>
    <w:p w:rsidR="00892068" w:rsidRDefault="00892068" w:rsidP="00892068">
      <w:pPr>
        <w:pStyle w:val="Heading1"/>
        <w:jc w:val="both"/>
        <w:rPr>
          <w:color w:val="000000"/>
        </w:rPr>
      </w:pPr>
    </w:p>
    <w:p w:rsidR="00892068" w:rsidRPr="005C7AE7" w:rsidRDefault="00892068" w:rsidP="00927741">
      <w:pPr>
        <w:pStyle w:val="Heading1"/>
        <w:jc w:val="both"/>
        <w:rPr>
          <w:rFonts w:cs="Arial"/>
          <w:b w:val="0"/>
          <w:spacing w:val="-3"/>
          <w:szCs w:val="24"/>
        </w:rPr>
      </w:pPr>
      <w:r>
        <w:br w:type="page"/>
      </w:r>
      <w:bookmarkStart w:id="2" w:name="_GoBack"/>
      <w:bookmarkEnd w:id="1"/>
      <w:bookmarkEnd w:id="2"/>
      <w:r w:rsidR="00927741" w:rsidRPr="005C7AE7">
        <w:rPr>
          <w:rFonts w:cs="Arial"/>
          <w:b w:val="0"/>
          <w:spacing w:val="-3"/>
          <w:szCs w:val="24"/>
        </w:rPr>
        <w:lastRenderedPageBreak/>
        <w:t xml:space="preserve"> </w:t>
      </w:r>
    </w:p>
    <w:p w:rsidR="00E825FA" w:rsidRDefault="00E825FA" w:rsidP="00892068"/>
    <w:sectPr w:rsidR="00E82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93" w:rsidRDefault="00B86693">
      <w:r>
        <w:separator/>
      </w:r>
    </w:p>
  </w:endnote>
  <w:endnote w:type="continuationSeparator" w:id="0">
    <w:p w:rsidR="00B86693" w:rsidRDefault="00B8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tblLayout w:type="fixed"/>
      <w:tblLook w:val="0000" w:firstRow="0" w:lastRow="0" w:firstColumn="0" w:lastColumn="0" w:noHBand="0" w:noVBand="0"/>
    </w:tblPr>
    <w:tblGrid>
      <w:gridCol w:w="2840"/>
      <w:gridCol w:w="1421"/>
      <w:gridCol w:w="1420"/>
      <w:gridCol w:w="3607"/>
    </w:tblGrid>
    <w:tr w:rsidR="00153722">
      <w:tc>
        <w:tcPr>
          <w:tcW w:w="4261" w:type="dxa"/>
          <w:gridSpan w:val="2"/>
          <w:tcBorders>
            <w:top w:val="single" w:sz="18" w:space="0" w:color="auto"/>
          </w:tcBorders>
        </w:tcPr>
        <w:p w:rsidR="00153722" w:rsidRPr="001303DD" w:rsidRDefault="00892068" w:rsidP="00EF41B3">
          <w:pPr>
            <w:pStyle w:val="Footer"/>
            <w:rPr>
              <w:sz w:val="20"/>
              <w:lang w:val="en-GB"/>
            </w:rPr>
          </w:pPr>
          <w:r w:rsidRPr="001303DD">
            <w:rPr>
              <w:sz w:val="20"/>
              <w:lang w:val="en-GB"/>
            </w:rPr>
            <w:t>Status:  Issue 1</w:t>
          </w:r>
        </w:p>
      </w:tc>
      <w:tc>
        <w:tcPr>
          <w:tcW w:w="5027" w:type="dxa"/>
          <w:gridSpan w:val="2"/>
          <w:tcBorders>
            <w:top w:val="single" w:sz="18" w:space="0" w:color="auto"/>
          </w:tcBorders>
        </w:tcPr>
        <w:p w:rsidR="00153722" w:rsidRPr="001303DD" w:rsidRDefault="00892068" w:rsidP="00EF41B3">
          <w:pPr>
            <w:pStyle w:val="Footer"/>
            <w:jc w:val="right"/>
            <w:rPr>
              <w:sz w:val="20"/>
              <w:lang w:val="en-GB"/>
            </w:rPr>
          </w:pPr>
          <w:r w:rsidRPr="001303DD">
            <w:rPr>
              <w:sz w:val="20"/>
              <w:lang w:val="en-GB"/>
            </w:rPr>
            <w:t>Issue date: January 2007</w:t>
          </w:r>
        </w:p>
      </w:tc>
    </w:tr>
    <w:tr w:rsidR="00153722">
      <w:tc>
        <w:tcPr>
          <w:tcW w:w="4261" w:type="dxa"/>
          <w:gridSpan w:val="2"/>
        </w:tcPr>
        <w:p w:rsidR="00153722" w:rsidRPr="001303DD" w:rsidRDefault="00892068" w:rsidP="00EF41B3">
          <w:pPr>
            <w:pStyle w:val="Footer"/>
            <w:rPr>
              <w:sz w:val="20"/>
              <w:lang w:val="en-GB"/>
            </w:rPr>
          </w:pPr>
          <w:r w:rsidRPr="001303DD">
            <w:rPr>
              <w:sz w:val="20"/>
              <w:lang w:val="en-GB"/>
            </w:rPr>
            <w:t>Approved by: Child and Family Consultants</w:t>
          </w:r>
        </w:p>
      </w:tc>
      <w:tc>
        <w:tcPr>
          <w:tcW w:w="5027" w:type="dxa"/>
          <w:gridSpan w:val="2"/>
        </w:tcPr>
        <w:p w:rsidR="00153722" w:rsidRPr="001303DD" w:rsidRDefault="00892068" w:rsidP="00EF41B3">
          <w:pPr>
            <w:pStyle w:val="Footer"/>
            <w:jc w:val="right"/>
            <w:rPr>
              <w:sz w:val="20"/>
              <w:lang w:val="en-GB"/>
            </w:rPr>
          </w:pPr>
          <w:r w:rsidRPr="001303DD">
            <w:rPr>
              <w:sz w:val="20"/>
              <w:lang w:val="en-GB"/>
            </w:rPr>
            <w:t>Review date: January 2010</w:t>
          </w:r>
        </w:p>
      </w:tc>
    </w:tr>
    <w:tr w:rsidR="00153722">
      <w:trPr>
        <w:cantSplit/>
      </w:trPr>
      <w:tc>
        <w:tcPr>
          <w:tcW w:w="2840" w:type="dxa"/>
        </w:tcPr>
        <w:p w:rsidR="00153722" w:rsidRPr="001303DD" w:rsidRDefault="00B86693" w:rsidP="00EF41B3">
          <w:pPr>
            <w:pStyle w:val="Footer"/>
            <w:jc w:val="right"/>
            <w:rPr>
              <w:sz w:val="20"/>
              <w:lang w:val="en-GB"/>
            </w:rPr>
          </w:pPr>
        </w:p>
      </w:tc>
      <w:tc>
        <w:tcPr>
          <w:tcW w:w="2841" w:type="dxa"/>
          <w:gridSpan w:val="2"/>
        </w:tcPr>
        <w:p w:rsidR="00153722" w:rsidRPr="001303DD" w:rsidRDefault="00892068" w:rsidP="00EF41B3">
          <w:pPr>
            <w:pStyle w:val="Footer"/>
            <w:jc w:val="center"/>
            <w:rPr>
              <w:sz w:val="20"/>
              <w:lang w:val="en-GB"/>
            </w:rPr>
          </w:pPr>
          <w:r w:rsidRPr="001303DD">
            <w:rPr>
              <w:rStyle w:val="PageNumber"/>
              <w:sz w:val="20"/>
              <w:lang w:val="en-GB"/>
            </w:rPr>
            <w:fldChar w:fldCharType="begin"/>
          </w:r>
          <w:r w:rsidRPr="001303DD">
            <w:rPr>
              <w:rStyle w:val="PageNumber"/>
              <w:sz w:val="20"/>
              <w:lang w:val="en-GB"/>
            </w:rPr>
            <w:instrText xml:space="preserve"> PAGE </w:instrText>
          </w:r>
          <w:r w:rsidRPr="001303DD">
            <w:rPr>
              <w:rStyle w:val="PageNumber"/>
              <w:sz w:val="20"/>
              <w:lang w:val="en-GB"/>
            </w:rPr>
            <w:fldChar w:fldCharType="separate"/>
          </w:r>
          <w:r w:rsidRPr="001303DD">
            <w:rPr>
              <w:rStyle w:val="PageNumber"/>
              <w:noProof/>
              <w:sz w:val="20"/>
              <w:lang w:val="en-GB"/>
            </w:rPr>
            <w:t>33</w:t>
          </w:r>
          <w:r w:rsidRPr="001303DD">
            <w:rPr>
              <w:rStyle w:val="PageNumber"/>
              <w:sz w:val="20"/>
              <w:lang w:val="en-GB"/>
            </w:rPr>
            <w:fldChar w:fldCharType="end"/>
          </w:r>
        </w:p>
      </w:tc>
      <w:tc>
        <w:tcPr>
          <w:tcW w:w="3607" w:type="dxa"/>
        </w:tcPr>
        <w:p w:rsidR="00153722" w:rsidRPr="001303DD" w:rsidRDefault="00B86693" w:rsidP="00EF41B3">
          <w:pPr>
            <w:pStyle w:val="Footer"/>
            <w:jc w:val="right"/>
            <w:rPr>
              <w:sz w:val="20"/>
              <w:lang w:val="en-GB"/>
            </w:rPr>
          </w:pPr>
        </w:p>
      </w:tc>
    </w:tr>
  </w:tbl>
  <w:p w:rsidR="00153722" w:rsidRDefault="00B86693">
    <w:pPr>
      <w:pStyle w:val="Footer"/>
    </w:pPr>
  </w:p>
  <w:p w:rsidR="00153722" w:rsidRDefault="00B86693"/>
  <w:p w:rsidR="00153722" w:rsidRDefault="00B866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93" w:rsidRDefault="00B86693">
      <w:r>
        <w:separator/>
      </w:r>
    </w:p>
  </w:footnote>
  <w:footnote w:type="continuationSeparator" w:id="0">
    <w:p w:rsidR="00B86693" w:rsidRDefault="00B8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60"/>
      <w:gridCol w:w="4748"/>
    </w:tblGrid>
    <w:tr w:rsidR="00153722">
      <w:tc>
        <w:tcPr>
          <w:tcW w:w="4360" w:type="dxa"/>
        </w:tcPr>
        <w:p w:rsidR="00153722" w:rsidRPr="001303DD" w:rsidRDefault="00892068" w:rsidP="00EF41B3">
          <w:pPr>
            <w:pStyle w:val="Header"/>
            <w:rPr>
              <w:lang w:val="en-GB" w:eastAsia="en-GB"/>
            </w:rPr>
          </w:pPr>
          <w:r w:rsidRPr="001303DD">
            <w:rPr>
              <w:lang w:val="en-GB" w:eastAsia="en-GB"/>
            </w:rPr>
            <w:t>Aneurin Bevan University Health Board</w:t>
          </w:r>
        </w:p>
      </w:tc>
      <w:tc>
        <w:tcPr>
          <w:tcW w:w="4748" w:type="dxa"/>
        </w:tcPr>
        <w:p w:rsidR="00153722" w:rsidRPr="001303DD" w:rsidRDefault="00892068" w:rsidP="00EF41B3">
          <w:pPr>
            <w:pStyle w:val="Header"/>
            <w:jc w:val="right"/>
            <w:rPr>
              <w:lang w:val="en-GB" w:eastAsia="en-GB"/>
            </w:rPr>
          </w:pPr>
          <w:r w:rsidRPr="001303DD">
            <w:rPr>
              <w:lang w:val="en-GB" w:eastAsia="en-GB"/>
            </w:rPr>
            <w:t>ABUHB/F&amp;T/0400</w:t>
          </w:r>
        </w:p>
      </w:tc>
    </w:tr>
    <w:tr w:rsidR="00153722">
      <w:tc>
        <w:tcPr>
          <w:tcW w:w="9108" w:type="dxa"/>
          <w:gridSpan w:val="2"/>
        </w:tcPr>
        <w:p w:rsidR="00153722" w:rsidRPr="001303DD" w:rsidRDefault="00892068" w:rsidP="00EF41B3">
          <w:pPr>
            <w:pStyle w:val="Header"/>
            <w:rPr>
              <w:lang w:val="en-GB" w:eastAsia="en-GB"/>
            </w:rPr>
          </w:pPr>
          <w:r w:rsidRPr="001303DD">
            <w:rPr>
              <w:lang w:val="en-GB" w:eastAsia="en-GB"/>
            </w:rPr>
            <w:t>Paediatric Best Practice Guidelines</w:t>
          </w:r>
        </w:p>
      </w:tc>
    </w:tr>
    <w:tr w:rsidR="00153722">
      <w:tc>
        <w:tcPr>
          <w:tcW w:w="4360" w:type="dxa"/>
          <w:tcBorders>
            <w:bottom w:val="single" w:sz="18" w:space="0" w:color="auto"/>
          </w:tcBorders>
        </w:tcPr>
        <w:p w:rsidR="00153722" w:rsidRPr="001303DD" w:rsidRDefault="00892068" w:rsidP="00EF41B3">
          <w:pPr>
            <w:pStyle w:val="Header"/>
            <w:rPr>
              <w:lang w:val="en-GB" w:eastAsia="en-GB"/>
            </w:rPr>
          </w:pPr>
          <w:r w:rsidRPr="001303DD">
            <w:rPr>
              <w:lang w:val="en-GB" w:eastAsia="en-GB"/>
            </w:rPr>
            <w:t>Owner:  Paediatric Consultants</w:t>
          </w:r>
        </w:p>
      </w:tc>
      <w:tc>
        <w:tcPr>
          <w:tcW w:w="4748" w:type="dxa"/>
          <w:tcBorders>
            <w:bottom w:val="single" w:sz="18" w:space="0" w:color="auto"/>
          </w:tcBorders>
        </w:tcPr>
        <w:p w:rsidR="00153722" w:rsidRPr="001303DD" w:rsidRDefault="00B86693" w:rsidP="00EF41B3">
          <w:pPr>
            <w:pStyle w:val="Header"/>
            <w:jc w:val="right"/>
            <w:rPr>
              <w:lang w:val="en-GB" w:eastAsia="en-GB"/>
            </w:rPr>
          </w:pPr>
        </w:p>
      </w:tc>
    </w:tr>
  </w:tbl>
  <w:p w:rsidR="00153722" w:rsidRDefault="00B86693" w:rsidP="00EF41B3">
    <w:pPr>
      <w:pStyle w:val="Header"/>
    </w:pPr>
  </w:p>
  <w:p w:rsidR="00153722" w:rsidRDefault="00B86693"/>
  <w:p w:rsidR="00153722" w:rsidRDefault="00B866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60"/>
      <w:gridCol w:w="4748"/>
    </w:tblGrid>
    <w:tr w:rsidR="00153722">
      <w:tc>
        <w:tcPr>
          <w:tcW w:w="4360" w:type="dxa"/>
        </w:tcPr>
        <w:p w:rsidR="00153722" w:rsidRPr="001303DD" w:rsidRDefault="00892068" w:rsidP="00EF41B3">
          <w:pPr>
            <w:pStyle w:val="Header"/>
            <w:rPr>
              <w:lang w:val="en-GB" w:eastAsia="en-GB"/>
            </w:rPr>
          </w:pPr>
          <w:r w:rsidRPr="001303DD">
            <w:rPr>
              <w:lang w:val="en-GB" w:eastAsia="en-GB"/>
            </w:rPr>
            <w:t>Aneurin Bevan Health Board</w:t>
          </w:r>
        </w:p>
      </w:tc>
      <w:tc>
        <w:tcPr>
          <w:tcW w:w="4748" w:type="dxa"/>
        </w:tcPr>
        <w:p w:rsidR="00153722" w:rsidRPr="001303DD" w:rsidRDefault="00892068" w:rsidP="00EF41B3">
          <w:pPr>
            <w:pStyle w:val="Header"/>
            <w:jc w:val="right"/>
            <w:rPr>
              <w:lang w:val="en-GB" w:eastAsia="en-GB"/>
            </w:rPr>
          </w:pPr>
          <w:r w:rsidRPr="001303DD">
            <w:rPr>
              <w:lang w:val="en-GB" w:eastAsia="en-GB"/>
            </w:rPr>
            <w:t>GHT/Paediatrics/4458</w:t>
          </w:r>
        </w:p>
      </w:tc>
    </w:tr>
    <w:tr w:rsidR="00153722">
      <w:tc>
        <w:tcPr>
          <w:tcW w:w="9108" w:type="dxa"/>
          <w:gridSpan w:val="2"/>
        </w:tcPr>
        <w:p w:rsidR="00153722" w:rsidRPr="001303DD" w:rsidRDefault="00892068" w:rsidP="00EF41B3">
          <w:pPr>
            <w:pStyle w:val="Header"/>
            <w:rPr>
              <w:lang w:val="en-GB" w:eastAsia="en-GB"/>
            </w:rPr>
          </w:pPr>
          <w:r w:rsidRPr="001303DD">
            <w:rPr>
              <w:lang w:val="en-GB" w:eastAsia="en-GB"/>
            </w:rPr>
            <w:t>Section 3:  Paediatric Endocrine Guidelines</w:t>
          </w:r>
        </w:p>
      </w:tc>
    </w:tr>
    <w:tr w:rsidR="00153722">
      <w:tc>
        <w:tcPr>
          <w:tcW w:w="4360" w:type="dxa"/>
          <w:tcBorders>
            <w:bottom w:val="single" w:sz="18" w:space="0" w:color="auto"/>
          </w:tcBorders>
        </w:tcPr>
        <w:p w:rsidR="00153722" w:rsidRPr="001303DD" w:rsidRDefault="00892068" w:rsidP="00EF41B3">
          <w:pPr>
            <w:pStyle w:val="Header"/>
            <w:rPr>
              <w:lang w:val="en-GB" w:eastAsia="en-GB"/>
            </w:rPr>
          </w:pPr>
          <w:r w:rsidRPr="001303DD">
            <w:rPr>
              <w:lang w:val="en-GB" w:eastAsia="en-GB"/>
            </w:rPr>
            <w:t>Owner:  Child and Family Division</w:t>
          </w:r>
        </w:p>
      </w:tc>
      <w:tc>
        <w:tcPr>
          <w:tcW w:w="4748" w:type="dxa"/>
          <w:tcBorders>
            <w:bottom w:val="single" w:sz="18" w:space="0" w:color="auto"/>
          </w:tcBorders>
        </w:tcPr>
        <w:p w:rsidR="00153722" w:rsidRPr="001303DD" w:rsidRDefault="00892068" w:rsidP="00EF41B3">
          <w:pPr>
            <w:pStyle w:val="Header"/>
            <w:jc w:val="right"/>
            <w:rPr>
              <w:lang w:val="en-GB" w:eastAsia="en-GB"/>
            </w:rPr>
          </w:pPr>
          <w:r w:rsidRPr="001303DD">
            <w:rPr>
              <w:lang w:val="en-GB" w:eastAsia="en-GB"/>
            </w:rPr>
            <w:t>Paediatric Best Practice Guidelines</w:t>
          </w:r>
        </w:p>
      </w:tc>
    </w:tr>
  </w:tbl>
  <w:p w:rsidR="00153722" w:rsidRDefault="00B86693">
    <w:pPr>
      <w:pStyle w:val="Header"/>
    </w:pPr>
  </w:p>
  <w:p w:rsidR="00153722" w:rsidRDefault="00B86693"/>
  <w:p w:rsidR="00153722" w:rsidRDefault="00B866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F73"/>
    <w:multiLevelType w:val="hybridMultilevel"/>
    <w:tmpl w:val="C48841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32D76D8"/>
    <w:multiLevelType w:val="singleLevel"/>
    <w:tmpl w:val="F2DEE40A"/>
    <w:lvl w:ilvl="0">
      <w:start w:val="1"/>
      <w:numFmt w:val="decimal"/>
      <w:lvlText w:val="%1"/>
      <w:lvlJc w:val="left"/>
      <w:pPr>
        <w:tabs>
          <w:tab w:val="num" w:pos="567"/>
        </w:tabs>
        <w:ind w:left="567" w:hanging="567"/>
      </w:pPr>
      <w:rPr>
        <w:rFonts w:ascii="Arial" w:hAnsi="Arial" w:hint="default"/>
        <w:b w:val="0"/>
        <w:i w:val="0"/>
        <w:sz w:val="22"/>
      </w:rPr>
    </w:lvl>
  </w:abstractNum>
  <w:abstractNum w:abstractNumId="2" w15:restartNumberingAfterBreak="0">
    <w:nsid w:val="05536756"/>
    <w:multiLevelType w:val="singleLevel"/>
    <w:tmpl w:val="1BE68FFC"/>
    <w:lvl w:ilvl="0">
      <w:start w:val="1"/>
      <w:numFmt w:val="decimal"/>
      <w:lvlText w:val="%1"/>
      <w:lvlJc w:val="left"/>
      <w:pPr>
        <w:tabs>
          <w:tab w:val="num" w:pos="705"/>
        </w:tabs>
        <w:ind w:left="705" w:hanging="705"/>
      </w:pPr>
      <w:rPr>
        <w:rFonts w:hint="default"/>
      </w:rPr>
    </w:lvl>
  </w:abstractNum>
  <w:abstractNum w:abstractNumId="3" w15:restartNumberingAfterBreak="0">
    <w:nsid w:val="05D16251"/>
    <w:multiLevelType w:val="hybridMultilevel"/>
    <w:tmpl w:val="969C8AF2"/>
    <w:lvl w:ilvl="0" w:tplc="7A84BA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B21DE3"/>
    <w:multiLevelType w:val="hybridMultilevel"/>
    <w:tmpl w:val="ED0CA650"/>
    <w:lvl w:ilvl="0" w:tplc="C16CC97C">
      <w:start w:val="1"/>
      <w:numFmt w:val="decimal"/>
      <w:lvlText w:val="%1."/>
      <w:lvlJc w:val="left"/>
      <w:pPr>
        <w:ind w:left="720" w:hanging="360"/>
      </w:pPr>
      <w:rPr>
        <w:rFonts w:hint="default"/>
        <w:b/>
        <w:bCs/>
        <w:color w:val="660066"/>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BD38F2"/>
    <w:multiLevelType w:val="hybridMultilevel"/>
    <w:tmpl w:val="A07678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BC7289"/>
    <w:multiLevelType w:val="hybridMultilevel"/>
    <w:tmpl w:val="66204A12"/>
    <w:lvl w:ilvl="0" w:tplc="132850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CD61FE"/>
    <w:multiLevelType w:val="singleLevel"/>
    <w:tmpl w:val="3C68E792"/>
    <w:lvl w:ilvl="0">
      <w:start w:val="1"/>
      <w:numFmt w:val="bullet"/>
      <w:lvlText w:val=""/>
      <w:lvlJc w:val="left"/>
      <w:pPr>
        <w:tabs>
          <w:tab w:val="num" w:pos="360"/>
        </w:tabs>
        <w:ind w:left="360" w:hanging="360"/>
      </w:pPr>
      <w:rPr>
        <w:rFonts w:ascii="Wingdings" w:hAnsi="Wingdings" w:hint="default"/>
        <w:sz w:val="22"/>
      </w:rPr>
    </w:lvl>
  </w:abstractNum>
  <w:abstractNum w:abstractNumId="8" w15:restartNumberingAfterBreak="0">
    <w:nsid w:val="080856AC"/>
    <w:multiLevelType w:val="hybridMultilevel"/>
    <w:tmpl w:val="B26A3A1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086076F0"/>
    <w:multiLevelType w:val="hybridMultilevel"/>
    <w:tmpl w:val="5E5EB14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0AB61A1E"/>
    <w:multiLevelType w:val="hybridMultilevel"/>
    <w:tmpl w:val="8936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C3F7BD7"/>
    <w:multiLevelType w:val="hybridMultilevel"/>
    <w:tmpl w:val="877E9350"/>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C7218FF"/>
    <w:multiLevelType w:val="hybridMultilevel"/>
    <w:tmpl w:val="28ACDC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0C7D4C1E"/>
    <w:multiLevelType w:val="hybridMultilevel"/>
    <w:tmpl w:val="DDC2F8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0D5062E2"/>
    <w:multiLevelType w:val="hybridMultilevel"/>
    <w:tmpl w:val="6C568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867CC8"/>
    <w:multiLevelType w:val="hybridMultilevel"/>
    <w:tmpl w:val="A8DEC2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0D9410C7"/>
    <w:multiLevelType w:val="multilevel"/>
    <w:tmpl w:val="9B92D34A"/>
    <w:lvl w:ilvl="0">
      <w:start w:val="1"/>
      <w:numFmt w:val="decimal"/>
      <w:lvlText w:val="%1"/>
      <w:lvlJc w:val="left"/>
      <w:pPr>
        <w:tabs>
          <w:tab w:val="num" w:pos="567"/>
        </w:tabs>
        <w:ind w:left="567" w:hanging="567"/>
      </w:pPr>
      <w:rPr>
        <w:rFonts w:ascii="Arial" w:hAnsi="Arial" w:hint="default"/>
        <w:b w:val="0"/>
        <w:i w:val="0"/>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0E074A8B"/>
    <w:multiLevelType w:val="hybridMultilevel"/>
    <w:tmpl w:val="CB1CA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223EFC"/>
    <w:multiLevelType w:val="hybridMultilevel"/>
    <w:tmpl w:val="889686E8"/>
    <w:lvl w:ilvl="0" w:tplc="43F8CE94">
      <w:start w:val="8"/>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F9332DC"/>
    <w:multiLevelType w:val="hybridMultilevel"/>
    <w:tmpl w:val="9F3EA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0FD05330"/>
    <w:multiLevelType w:val="hybridMultilevel"/>
    <w:tmpl w:val="467C7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FA0BCC"/>
    <w:multiLevelType w:val="singleLevel"/>
    <w:tmpl w:val="F2DEE40A"/>
    <w:lvl w:ilvl="0">
      <w:start w:val="1"/>
      <w:numFmt w:val="decimal"/>
      <w:lvlText w:val="%1"/>
      <w:lvlJc w:val="left"/>
      <w:pPr>
        <w:tabs>
          <w:tab w:val="num" w:pos="567"/>
        </w:tabs>
        <w:ind w:left="567" w:hanging="567"/>
      </w:pPr>
      <w:rPr>
        <w:rFonts w:ascii="Arial" w:hAnsi="Arial" w:hint="default"/>
        <w:b w:val="0"/>
        <w:i w:val="0"/>
        <w:sz w:val="22"/>
      </w:rPr>
    </w:lvl>
  </w:abstractNum>
  <w:abstractNum w:abstractNumId="22" w15:restartNumberingAfterBreak="0">
    <w:nsid w:val="10FD5A74"/>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23" w15:restartNumberingAfterBreak="0">
    <w:nsid w:val="112D1041"/>
    <w:multiLevelType w:val="hybridMultilevel"/>
    <w:tmpl w:val="6690346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122722B3"/>
    <w:multiLevelType w:val="hybridMultilevel"/>
    <w:tmpl w:val="CE3A0D12"/>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8D13948"/>
    <w:multiLevelType w:val="hybridMultilevel"/>
    <w:tmpl w:val="3E4EA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E04E90"/>
    <w:multiLevelType w:val="hybridMultilevel"/>
    <w:tmpl w:val="83B07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47474F"/>
    <w:multiLevelType w:val="hybridMultilevel"/>
    <w:tmpl w:val="432A2C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C617616"/>
    <w:multiLevelType w:val="hybridMultilevel"/>
    <w:tmpl w:val="87460C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1E3175B5"/>
    <w:multiLevelType w:val="hybridMultilevel"/>
    <w:tmpl w:val="DEDA03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1E5423A5"/>
    <w:multiLevelType w:val="hybridMultilevel"/>
    <w:tmpl w:val="3B8E16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22695C66"/>
    <w:multiLevelType w:val="hybridMultilevel"/>
    <w:tmpl w:val="F48C28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22B957F9"/>
    <w:multiLevelType w:val="hybridMultilevel"/>
    <w:tmpl w:val="832A7C2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25722FA0"/>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34" w15:restartNumberingAfterBreak="0">
    <w:nsid w:val="277F7B30"/>
    <w:multiLevelType w:val="hybridMultilevel"/>
    <w:tmpl w:val="E1B43CA8"/>
    <w:lvl w:ilvl="0" w:tplc="FB74480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8AF6BB2"/>
    <w:multiLevelType w:val="hybridMultilevel"/>
    <w:tmpl w:val="ADD6A1A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2C822A59"/>
    <w:multiLevelType w:val="hybridMultilevel"/>
    <w:tmpl w:val="C8B8E728"/>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cs="Symbol"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2E2A4323"/>
    <w:multiLevelType w:val="hybridMultilevel"/>
    <w:tmpl w:val="9CC0D8BA"/>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E36076E"/>
    <w:multiLevelType w:val="hybridMultilevel"/>
    <w:tmpl w:val="CC00B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F520BF2">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CB2426"/>
    <w:multiLevelType w:val="singleLevel"/>
    <w:tmpl w:val="EA1A9414"/>
    <w:lvl w:ilvl="0">
      <w:start w:val="1"/>
      <w:numFmt w:val="decimal"/>
      <w:lvlText w:val="%1"/>
      <w:lvlJc w:val="left"/>
      <w:pPr>
        <w:tabs>
          <w:tab w:val="num" w:pos="567"/>
        </w:tabs>
        <w:ind w:left="567" w:hanging="567"/>
      </w:pPr>
      <w:rPr>
        <w:rFonts w:ascii="Arial" w:hAnsi="Arial" w:hint="default"/>
        <w:b w:val="0"/>
        <w:i w:val="0"/>
        <w:sz w:val="22"/>
      </w:rPr>
    </w:lvl>
  </w:abstractNum>
  <w:abstractNum w:abstractNumId="40" w15:restartNumberingAfterBreak="0">
    <w:nsid w:val="33DA7208"/>
    <w:multiLevelType w:val="hybridMultilevel"/>
    <w:tmpl w:val="D358976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1" w15:restartNumberingAfterBreak="0">
    <w:nsid w:val="33ED55D5"/>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42" w15:restartNumberingAfterBreak="0">
    <w:nsid w:val="34101767"/>
    <w:multiLevelType w:val="multilevel"/>
    <w:tmpl w:val="6F12725E"/>
    <w:lvl w:ilvl="0">
      <w:start w:val="1"/>
      <w:numFmt w:val="decimal"/>
      <w:lvlText w:val="%1"/>
      <w:lvlJc w:val="left"/>
      <w:pPr>
        <w:tabs>
          <w:tab w:val="num" w:pos="567"/>
        </w:tabs>
        <w:ind w:left="567" w:hanging="567"/>
      </w:pPr>
      <w:rPr>
        <w:rFonts w:ascii="Arial" w:hAnsi="Arial" w:hint="default"/>
        <w:b w:val="0"/>
        <w:i w:val="0"/>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34DD3ED3"/>
    <w:multiLevelType w:val="hybridMultilevel"/>
    <w:tmpl w:val="E780DAB4"/>
    <w:lvl w:ilvl="0" w:tplc="01B0F46A">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4" w15:restartNumberingAfterBreak="0">
    <w:nsid w:val="36800608"/>
    <w:multiLevelType w:val="singleLevel"/>
    <w:tmpl w:val="0809000F"/>
    <w:lvl w:ilvl="0">
      <w:start w:val="1"/>
      <w:numFmt w:val="decimal"/>
      <w:lvlText w:val="%1."/>
      <w:lvlJc w:val="left"/>
      <w:pPr>
        <w:tabs>
          <w:tab w:val="num" w:pos="360"/>
        </w:tabs>
        <w:ind w:left="360" w:hanging="360"/>
      </w:pPr>
      <w:rPr>
        <w:rFonts w:hint="default"/>
      </w:rPr>
    </w:lvl>
  </w:abstractNum>
  <w:abstractNum w:abstractNumId="45" w15:restartNumberingAfterBreak="0">
    <w:nsid w:val="36947852"/>
    <w:multiLevelType w:val="hybridMultilevel"/>
    <w:tmpl w:val="86EA4B76"/>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38F96FF7"/>
    <w:multiLevelType w:val="hybridMultilevel"/>
    <w:tmpl w:val="569612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396B7B1A"/>
    <w:multiLevelType w:val="hybridMultilevel"/>
    <w:tmpl w:val="C0562F62"/>
    <w:lvl w:ilvl="0" w:tplc="10700BB6">
      <w:start w:val="1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0E48F1"/>
    <w:multiLevelType w:val="hybridMultilevel"/>
    <w:tmpl w:val="EE5C00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15:restartNumberingAfterBreak="0">
    <w:nsid w:val="3C780793"/>
    <w:multiLevelType w:val="hybridMultilevel"/>
    <w:tmpl w:val="AA702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D1F7E45"/>
    <w:multiLevelType w:val="hybridMultilevel"/>
    <w:tmpl w:val="DCF43554"/>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cs="Wingdings"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51" w15:restartNumberingAfterBreak="0">
    <w:nsid w:val="3DCC6CAE"/>
    <w:multiLevelType w:val="hybridMultilevel"/>
    <w:tmpl w:val="180A9C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 w15:restartNumberingAfterBreak="0">
    <w:nsid w:val="41BF0B47"/>
    <w:multiLevelType w:val="hybridMultilevel"/>
    <w:tmpl w:val="CDE2D674"/>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45DB1717"/>
    <w:multiLevelType w:val="hybridMultilevel"/>
    <w:tmpl w:val="0CB622DC"/>
    <w:lvl w:ilvl="0" w:tplc="08090005">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54" w15:restartNumberingAfterBreak="0">
    <w:nsid w:val="48907BEB"/>
    <w:multiLevelType w:val="hybridMultilevel"/>
    <w:tmpl w:val="58E254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5" w15:restartNumberingAfterBreak="0">
    <w:nsid w:val="4AA3075B"/>
    <w:multiLevelType w:val="hybridMultilevel"/>
    <w:tmpl w:val="9B0C818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6" w15:restartNumberingAfterBreak="0">
    <w:nsid w:val="4BBA5DB0"/>
    <w:multiLevelType w:val="hybridMultilevel"/>
    <w:tmpl w:val="C584DA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7" w15:restartNumberingAfterBreak="0">
    <w:nsid w:val="4C5362A4"/>
    <w:multiLevelType w:val="hybridMultilevel"/>
    <w:tmpl w:val="EEC6D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15:restartNumberingAfterBreak="0">
    <w:nsid w:val="4CBE5D8E"/>
    <w:multiLevelType w:val="hybridMultilevel"/>
    <w:tmpl w:val="CF08FCBA"/>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4E972F4C"/>
    <w:multiLevelType w:val="hybridMultilevel"/>
    <w:tmpl w:val="75745C7A"/>
    <w:lvl w:ilvl="0" w:tplc="04090005">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60" w15:restartNumberingAfterBreak="0">
    <w:nsid w:val="4F9841C8"/>
    <w:multiLevelType w:val="hybridMultilevel"/>
    <w:tmpl w:val="B718A750"/>
    <w:lvl w:ilvl="0" w:tplc="01B0F46A">
      <w:start w:val="1"/>
      <w:numFmt w:val="bullet"/>
      <w:lvlText w:val=""/>
      <w:lvlJc w:val="left"/>
      <w:pPr>
        <w:ind w:left="720" w:hanging="360"/>
      </w:pPr>
      <w:rPr>
        <w:rFonts w:ascii="Symbol" w:hAnsi="Symbol" w:cs="Symbol" w:hint="default"/>
        <w:color w:val="auto"/>
      </w:rPr>
    </w:lvl>
    <w:lvl w:ilvl="1" w:tplc="01B0F46A">
      <w:start w:val="1"/>
      <w:numFmt w:val="bullet"/>
      <w:lvlText w:val=""/>
      <w:lvlJc w:val="left"/>
      <w:pPr>
        <w:ind w:left="1440" w:hanging="360"/>
      </w:pPr>
      <w:rPr>
        <w:rFonts w:ascii="Symbol" w:hAnsi="Symbol" w:cs="Symbol" w:hint="default"/>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53F058EF"/>
    <w:multiLevelType w:val="hybridMultilevel"/>
    <w:tmpl w:val="0002C5AA"/>
    <w:lvl w:ilvl="0" w:tplc="01B0F46A">
      <w:start w:val="1"/>
      <w:numFmt w:val="bullet"/>
      <w:lvlText w:val=""/>
      <w:lvlJc w:val="left"/>
      <w:pPr>
        <w:ind w:left="720" w:hanging="360"/>
      </w:pPr>
      <w:rPr>
        <w:rFonts w:ascii="Symbol" w:hAnsi="Symbol" w:cs="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567B030E"/>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63" w15:restartNumberingAfterBreak="0">
    <w:nsid w:val="56DE4761"/>
    <w:multiLevelType w:val="hybridMultilevel"/>
    <w:tmpl w:val="2CF89426"/>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595859E3"/>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65" w15:restartNumberingAfterBreak="0">
    <w:nsid w:val="59C76871"/>
    <w:multiLevelType w:val="hybridMultilevel"/>
    <w:tmpl w:val="254A06F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6" w15:restartNumberingAfterBreak="0">
    <w:nsid w:val="5A6172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BA9241E"/>
    <w:multiLevelType w:val="hybridMultilevel"/>
    <w:tmpl w:val="9136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BC84CC3"/>
    <w:multiLevelType w:val="hybridMultilevel"/>
    <w:tmpl w:val="F5C88E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007603"/>
    <w:multiLevelType w:val="hybridMultilevel"/>
    <w:tmpl w:val="6EAC46F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15:restartNumberingAfterBreak="0">
    <w:nsid w:val="5E467FDC"/>
    <w:multiLevelType w:val="hybridMultilevel"/>
    <w:tmpl w:val="E55A4F0E"/>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5F324596"/>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72" w15:restartNumberingAfterBreak="0">
    <w:nsid w:val="5FE34E4C"/>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73" w15:restartNumberingAfterBreak="0">
    <w:nsid w:val="64112F26"/>
    <w:multiLevelType w:val="hybridMultilevel"/>
    <w:tmpl w:val="EC529660"/>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cs="Wingdings"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74" w15:restartNumberingAfterBreak="0">
    <w:nsid w:val="66035C85"/>
    <w:multiLevelType w:val="hybridMultilevel"/>
    <w:tmpl w:val="9F504D1E"/>
    <w:lvl w:ilvl="0" w:tplc="08090001">
      <w:start w:val="1"/>
      <w:numFmt w:val="bullet"/>
      <w:lvlText w:val=""/>
      <w:lvlJc w:val="left"/>
      <w:pPr>
        <w:tabs>
          <w:tab w:val="num" w:pos="360"/>
        </w:tabs>
        <w:ind w:left="360" w:hanging="360"/>
      </w:pPr>
      <w:rPr>
        <w:rFonts w:ascii="Symbol" w:hAnsi="Symbol" w:cs="Symbol" w:hint="default"/>
      </w:rPr>
    </w:lvl>
    <w:lvl w:ilvl="1" w:tplc="01B0F46A">
      <w:start w:val="1"/>
      <w:numFmt w:val="bullet"/>
      <w:lvlText w:val=""/>
      <w:lvlJc w:val="left"/>
      <w:pPr>
        <w:ind w:left="1080" w:hanging="360"/>
      </w:pPr>
      <w:rPr>
        <w:rFonts w:ascii="Symbol" w:hAnsi="Symbol" w:cs="Symbol" w:hint="default"/>
        <w:color w:val="auto"/>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5" w15:restartNumberingAfterBreak="0">
    <w:nsid w:val="6B56077B"/>
    <w:multiLevelType w:val="hybridMultilevel"/>
    <w:tmpl w:val="3F9A79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6" w15:restartNumberingAfterBreak="0">
    <w:nsid w:val="6C4F5208"/>
    <w:multiLevelType w:val="hybridMultilevel"/>
    <w:tmpl w:val="92A4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AA77A5"/>
    <w:multiLevelType w:val="hybridMultilevel"/>
    <w:tmpl w:val="D6F07512"/>
    <w:lvl w:ilvl="0" w:tplc="08090005">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78" w15:restartNumberingAfterBreak="0">
    <w:nsid w:val="6D1A4A4C"/>
    <w:multiLevelType w:val="hybridMultilevel"/>
    <w:tmpl w:val="0A722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70B638F2"/>
    <w:multiLevelType w:val="hybridMultilevel"/>
    <w:tmpl w:val="50FC3CF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0" w15:restartNumberingAfterBreak="0">
    <w:nsid w:val="78174E27"/>
    <w:multiLevelType w:val="multilevel"/>
    <w:tmpl w:val="9AC28F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F0247C2"/>
    <w:multiLevelType w:val="hybridMultilevel"/>
    <w:tmpl w:val="DF12646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1"/>
  </w:num>
  <w:num w:numId="3">
    <w:abstractNumId w:val="42"/>
  </w:num>
  <w:num w:numId="4">
    <w:abstractNumId w:val="16"/>
  </w:num>
  <w:num w:numId="5">
    <w:abstractNumId w:val="33"/>
  </w:num>
  <w:num w:numId="6">
    <w:abstractNumId w:val="62"/>
  </w:num>
  <w:num w:numId="7">
    <w:abstractNumId w:val="64"/>
  </w:num>
  <w:num w:numId="8">
    <w:abstractNumId w:val="41"/>
  </w:num>
  <w:num w:numId="9">
    <w:abstractNumId w:val="22"/>
  </w:num>
  <w:num w:numId="10">
    <w:abstractNumId w:val="71"/>
  </w:num>
  <w:num w:numId="11">
    <w:abstractNumId w:val="72"/>
  </w:num>
  <w:num w:numId="12">
    <w:abstractNumId w:val="39"/>
  </w:num>
  <w:num w:numId="13">
    <w:abstractNumId w:val="7"/>
  </w:num>
  <w:num w:numId="14">
    <w:abstractNumId w:val="2"/>
  </w:num>
  <w:num w:numId="1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6"/>
  </w:num>
  <w:num w:numId="18">
    <w:abstractNumId w:val="20"/>
  </w:num>
  <w:num w:numId="19">
    <w:abstractNumId w:val="17"/>
  </w:num>
  <w:num w:numId="20">
    <w:abstractNumId w:val="27"/>
  </w:num>
  <w:num w:numId="21">
    <w:abstractNumId w:val="66"/>
  </w:num>
  <w:num w:numId="22">
    <w:abstractNumId w:val="74"/>
  </w:num>
  <w:num w:numId="23">
    <w:abstractNumId w:val="65"/>
  </w:num>
  <w:num w:numId="24">
    <w:abstractNumId w:val="55"/>
  </w:num>
  <w:num w:numId="25">
    <w:abstractNumId w:val="52"/>
  </w:num>
  <w:num w:numId="26">
    <w:abstractNumId w:val="15"/>
  </w:num>
  <w:num w:numId="27">
    <w:abstractNumId w:val="46"/>
  </w:num>
  <w:num w:numId="28">
    <w:abstractNumId w:val="56"/>
  </w:num>
  <w:num w:numId="29">
    <w:abstractNumId w:val="40"/>
  </w:num>
  <w:num w:numId="30">
    <w:abstractNumId w:val="43"/>
  </w:num>
  <w:num w:numId="31">
    <w:abstractNumId w:val="61"/>
  </w:num>
  <w:num w:numId="32">
    <w:abstractNumId w:val="60"/>
  </w:num>
  <w:num w:numId="33">
    <w:abstractNumId w:val="5"/>
  </w:num>
  <w:num w:numId="34">
    <w:abstractNumId w:val="25"/>
  </w:num>
  <w:num w:numId="35">
    <w:abstractNumId w:val="34"/>
  </w:num>
  <w:num w:numId="36">
    <w:abstractNumId w:val="58"/>
  </w:num>
  <w:num w:numId="37">
    <w:abstractNumId w:val="4"/>
  </w:num>
  <w:num w:numId="38">
    <w:abstractNumId w:val="24"/>
  </w:num>
  <w:num w:numId="39">
    <w:abstractNumId w:val="63"/>
  </w:num>
  <w:num w:numId="40">
    <w:abstractNumId w:val="77"/>
  </w:num>
  <w:num w:numId="41">
    <w:abstractNumId w:val="35"/>
  </w:num>
  <w:num w:numId="42">
    <w:abstractNumId w:val="19"/>
  </w:num>
  <w:num w:numId="43">
    <w:abstractNumId w:val="29"/>
  </w:num>
  <w:num w:numId="44">
    <w:abstractNumId w:val="54"/>
  </w:num>
  <w:num w:numId="45">
    <w:abstractNumId w:val="11"/>
  </w:num>
  <w:num w:numId="46">
    <w:abstractNumId w:val="81"/>
  </w:num>
  <w:num w:numId="47">
    <w:abstractNumId w:val="30"/>
  </w:num>
  <w:num w:numId="48">
    <w:abstractNumId w:val="75"/>
  </w:num>
  <w:num w:numId="49">
    <w:abstractNumId w:val="51"/>
  </w:num>
  <w:num w:numId="50">
    <w:abstractNumId w:val="13"/>
  </w:num>
  <w:num w:numId="51">
    <w:abstractNumId w:val="0"/>
  </w:num>
  <w:num w:numId="52">
    <w:abstractNumId w:val="28"/>
  </w:num>
  <w:num w:numId="53">
    <w:abstractNumId w:val="12"/>
  </w:num>
  <w:num w:numId="54">
    <w:abstractNumId w:val="37"/>
  </w:num>
  <w:num w:numId="55">
    <w:abstractNumId w:val="45"/>
  </w:num>
  <w:num w:numId="56">
    <w:abstractNumId w:val="70"/>
  </w:num>
  <w:num w:numId="57">
    <w:abstractNumId w:val="50"/>
  </w:num>
  <w:num w:numId="58">
    <w:abstractNumId w:val="36"/>
  </w:num>
  <w:num w:numId="59">
    <w:abstractNumId w:val="73"/>
  </w:num>
  <w:num w:numId="60">
    <w:abstractNumId w:val="59"/>
  </w:num>
  <w:num w:numId="61">
    <w:abstractNumId w:val="57"/>
  </w:num>
  <w:num w:numId="62">
    <w:abstractNumId w:val="31"/>
  </w:num>
  <w:num w:numId="63">
    <w:abstractNumId w:val="48"/>
  </w:num>
  <w:num w:numId="64">
    <w:abstractNumId w:val="79"/>
  </w:num>
  <w:num w:numId="65">
    <w:abstractNumId w:val="32"/>
  </w:num>
  <w:num w:numId="66">
    <w:abstractNumId w:val="8"/>
  </w:num>
  <w:num w:numId="67">
    <w:abstractNumId w:val="9"/>
  </w:num>
  <w:num w:numId="68">
    <w:abstractNumId w:val="23"/>
  </w:num>
  <w:num w:numId="69">
    <w:abstractNumId w:val="69"/>
  </w:num>
  <w:num w:numId="70">
    <w:abstractNumId w:val="18"/>
  </w:num>
  <w:num w:numId="71">
    <w:abstractNumId w:val="10"/>
  </w:num>
  <w:num w:numId="72">
    <w:abstractNumId w:val="53"/>
  </w:num>
  <w:num w:numId="73">
    <w:abstractNumId w:val="44"/>
  </w:num>
  <w:num w:numId="74">
    <w:abstractNumId w:val="68"/>
  </w:num>
  <w:num w:numId="75">
    <w:abstractNumId w:val="47"/>
  </w:num>
  <w:num w:numId="76">
    <w:abstractNumId w:val="6"/>
  </w:num>
  <w:num w:numId="77">
    <w:abstractNumId w:val="14"/>
  </w:num>
  <w:num w:numId="78">
    <w:abstractNumId w:val="3"/>
  </w:num>
  <w:num w:numId="79">
    <w:abstractNumId w:val="78"/>
  </w:num>
  <w:num w:numId="80">
    <w:abstractNumId w:val="76"/>
  </w:num>
  <w:num w:numId="81">
    <w:abstractNumId w:val="67"/>
  </w:num>
  <w:num w:numId="82">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68"/>
    <w:rsid w:val="0008713E"/>
    <w:rsid w:val="003718DD"/>
    <w:rsid w:val="00892068"/>
    <w:rsid w:val="008D4170"/>
    <w:rsid w:val="00927741"/>
    <w:rsid w:val="00B2238C"/>
    <w:rsid w:val="00B86693"/>
    <w:rsid w:val="00E8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63D4-2185-4556-83B7-123DB54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68"/>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892068"/>
    <w:pPr>
      <w:keepNext/>
      <w:spacing w:after="60"/>
      <w:outlineLvl w:val="0"/>
    </w:pPr>
    <w:rPr>
      <w:b/>
      <w:snapToGrid w:val="0"/>
      <w:kern w:val="28"/>
      <w:lang w:val="x-none" w:eastAsia="x-none"/>
    </w:rPr>
  </w:style>
  <w:style w:type="paragraph" w:styleId="Heading2">
    <w:name w:val="heading 2"/>
    <w:basedOn w:val="Normal"/>
    <w:next w:val="Normal"/>
    <w:link w:val="Heading2Char"/>
    <w:qFormat/>
    <w:rsid w:val="00892068"/>
    <w:pPr>
      <w:keepNext/>
      <w:spacing w:after="60"/>
      <w:outlineLvl w:val="1"/>
    </w:pPr>
    <w:rPr>
      <w:b/>
      <w:lang w:val="x-none" w:eastAsia="x-none"/>
    </w:rPr>
  </w:style>
  <w:style w:type="paragraph" w:styleId="Heading3">
    <w:name w:val="heading 3"/>
    <w:basedOn w:val="Normal"/>
    <w:next w:val="Normal"/>
    <w:link w:val="Heading3Char"/>
    <w:qFormat/>
    <w:rsid w:val="00892068"/>
    <w:pPr>
      <w:keepNext/>
      <w:spacing w:after="60"/>
      <w:outlineLvl w:val="2"/>
    </w:pPr>
    <w:rPr>
      <w:b/>
      <w:lang w:val="x-none" w:eastAsia="x-none"/>
    </w:rPr>
  </w:style>
  <w:style w:type="paragraph" w:styleId="Heading4">
    <w:name w:val="heading 4"/>
    <w:basedOn w:val="Normal"/>
    <w:next w:val="Normal"/>
    <w:link w:val="Heading4Char"/>
    <w:qFormat/>
    <w:rsid w:val="0089206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068"/>
    <w:rPr>
      <w:rFonts w:ascii="Arial" w:eastAsia="Times New Roman" w:hAnsi="Arial" w:cs="Times New Roman"/>
      <w:b/>
      <w:snapToGrid w:val="0"/>
      <w:kern w:val="28"/>
      <w:sz w:val="24"/>
      <w:szCs w:val="20"/>
      <w:lang w:val="x-none" w:eastAsia="x-none"/>
    </w:rPr>
  </w:style>
  <w:style w:type="character" w:customStyle="1" w:styleId="Heading2Char">
    <w:name w:val="Heading 2 Char"/>
    <w:basedOn w:val="DefaultParagraphFont"/>
    <w:link w:val="Heading2"/>
    <w:rsid w:val="00892068"/>
    <w:rPr>
      <w:rFonts w:ascii="Arial" w:eastAsia="Times New Roman" w:hAnsi="Arial" w:cs="Times New Roman"/>
      <w:b/>
      <w:sz w:val="24"/>
      <w:szCs w:val="20"/>
      <w:lang w:val="x-none" w:eastAsia="x-none"/>
    </w:rPr>
  </w:style>
  <w:style w:type="character" w:customStyle="1" w:styleId="Heading3Char">
    <w:name w:val="Heading 3 Char"/>
    <w:basedOn w:val="DefaultParagraphFont"/>
    <w:link w:val="Heading3"/>
    <w:rsid w:val="00892068"/>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rsid w:val="00892068"/>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892068"/>
    <w:pPr>
      <w:jc w:val="both"/>
    </w:pPr>
    <w:rPr>
      <w:snapToGrid w:val="0"/>
      <w:lang w:val="x-none" w:eastAsia="x-none"/>
    </w:rPr>
  </w:style>
  <w:style w:type="character" w:customStyle="1" w:styleId="BodyTextChar">
    <w:name w:val="Body Text Char"/>
    <w:basedOn w:val="DefaultParagraphFont"/>
    <w:link w:val="BodyText"/>
    <w:rsid w:val="00892068"/>
    <w:rPr>
      <w:rFonts w:ascii="Arial" w:eastAsia="Times New Roman" w:hAnsi="Arial" w:cs="Times New Roman"/>
      <w:snapToGrid w:val="0"/>
      <w:sz w:val="24"/>
      <w:szCs w:val="20"/>
      <w:lang w:val="x-none" w:eastAsia="x-none"/>
    </w:rPr>
  </w:style>
  <w:style w:type="paragraph" w:customStyle="1" w:styleId="BodySingle">
    <w:name w:val="Body Single"/>
    <w:rsid w:val="00892068"/>
    <w:pPr>
      <w:spacing w:after="0" w:line="240" w:lineRule="auto"/>
    </w:pPr>
    <w:rPr>
      <w:rFonts w:ascii="Times New Roman" w:eastAsia="Times New Roman" w:hAnsi="Times New Roman" w:cs="Times New Roman"/>
      <w:snapToGrid w:val="0"/>
      <w:color w:val="000000"/>
      <w:sz w:val="24"/>
      <w:szCs w:val="20"/>
      <w:lang w:eastAsia="en-GB"/>
    </w:rPr>
  </w:style>
  <w:style w:type="paragraph" w:styleId="NormalWeb">
    <w:name w:val="Normal (Web)"/>
    <w:basedOn w:val="Normal"/>
    <w:uiPriority w:val="99"/>
    <w:rsid w:val="00892068"/>
    <w:pPr>
      <w:spacing w:before="100" w:after="100"/>
    </w:pPr>
  </w:style>
  <w:style w:type="paragraph" w:styleId="BodyText2">
    <w:name w:val="Body Text 2"/>
    <w:basedOn w:val="Normal"/>
    <w:link w:val="BodyText2Char"/>
    <w:rsid w:val="00892068"/>
    <w:pPr>
      <w:spacing w:after="120" w:line="480" w:lineRule="auto"/>
    </w:pPr>
    <w:rPr>
      <w:lang w:val="x-none" w:eastAsia="x-none"/>
    </w:rPr>
  </w:style>
  <w:style w:type="character" w:customStyle="1" w:styleId="BodyText2Char">
    <w:name w:val="Body Text 2 Char"/>
    <w:basedOn w:val="DefaultParagraphFont"/>
    <w:link w:val="BodyText2"/>
    <w:rsid w:val="00892068"/>
    <w:rPr>
      <w:rFonts w:ascii="Arial" w:eastAsia="Times New Roman" w:hAnsi="Arial" w:cs="Times New Roman"/>
      <w:sz w:val="24"/>
      <w:szCs w:val="20"/>
      <w:lang w:val="x-none" w:eastAsia="x-none"/>
    </w:rPr>
  </w:style>
  <w:style w:type="paragraph" w:styleId="Header">
    <w:name w:val="header"/>
    <w:basedOn w:val="Normal"/>
    <w:link w:val="HeaderChar"/>
    <w:rsid w:val="00892068"/>
    <w:pPr>
      <w:tabs>
        <w:tab w:val="center" w:pos="4153"/>
        <w:tab w:val="right" w:pos="8306"/>
      </w:tabs>
    </w:pPr>
    <w:rPr>
      <w:sz w:val="20"/>
      <w:lang w:val="x-none" w:eastAsia="x-none"/>
    </w:rPr>
  </w:style>
  <w:style w:type="character" w:customStyle="1" w:styleId="HeaderChar">
    <w:name w:val="Header Char"/>
    <w:basedOn w:val="DefaultParagraphFont"/>
    <w:link w:val="Header"/>
    <w:rsid w:val="00892068"/>
    <w:rPr>
      <w:rFonts w:ascii="Arial" w:eastAsia="Times New Roman" w:hAnsi="Arial" w:cs="Times New Roman"/>
      <w:sz w:val="20"/>
      <w:szCs w:val="20"/>
      <w:lang w:val="x-none" w:eastAsia="x-none"/>
    </w:rPr>
  </w:style>
  <w:style w:type="paragraph" w:styleId="BodyTextIndent2">
    <w:name w:val="Body Text Indent 2"/>
    <w:basedOn w:val="Normal"/>
    <w:link w:val="BodyTextIndent2Char"/>
    <w:rsid w:val="00892068"/>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892068"/>
    <w:rPr>
      <w:rFonts w:ascii="Arial" w:eastAsia="Times New Roman" w:hAnsi="Arial" w:cs="Times New Roman"/>
      <w:sz w:val="24"/>
      <w:szCs w:val="20"/>
      <w:lang w:val="x-none" w:eastAsia="x-none"/>
    </w:rPr>
  </w:style>
  <w:style w:type="paragraph" w:styleId="Footer">
    <w:name w:val="footer"/>
    <w:basedOn w:val="Normal"/>
    <w:link w:val="FooterChar"/>
    <w:uiPriority w:val="99"/>
    <w:rsid w:val="00892068"/>
    <w:pPr>
      <w:tabs>
        <w:tab w:val="center" w:pos="4153"/>
        <w:tab w:val="right" w:pos="8306"/>
      </w:tabs>
    </w:pPr>
    <w:rPr>
      <w:lang w:val="x-none" w:eastAsia="en-US"/>
    </w:rPr>
  </w:style>
  <w:style w:type="character" w:customStyle="1" w:styleId="FooterChar">
    <w:name w:val="Footer Char"/>
    <w:basedOn w:val="DefaultParagraphFont"/>
    <w:link w:val="Footer"/>
    <w:uiPriority w:val="99"/>
    <w:rsid w:val="00892068"/>
    <w:rPr>
      <w:rFonts w:ascii="Arial" w:eastAsia="Times New Roman" w:hAnsi="Arial" w:cs="Times New Roman"/>
      <w:sz w:val="24"/>
      <w:szCs w:val="20"/>
      <w:lang w:val="x-none"/>
    </w:rPr>
  </w:style>
  <w:style w:type="character" w:styleId="PageNumber">
    <w:name w:val="page number"/>
    <w:basedOn w:val="DefaultParagraphFont"/>
    <w:rsid w:val="00892068"/>
  </w:style>
  <w:style w:type="character" w:styleId="Hyperlink">
    <w:name w:val="Hyperlink"/>
    <w:rsid w:val="00892068"/>
    <w:rPr>
      <w:color w:val="0000FF"/>
      <w:u w:val="single"/>
    </w:rPr>
  </w:style>
  <w:style w:type="paragraph" w:styleId="ListParagraph">
    <w:name w:val="List Paragraph"/>
    <w:basedOn w:val="Normal"/>
    <w:uiPriority w:val="34"/>
    <w:qFormat/>
    <w:rsid w:val="00892068"/>
    <w:pPr>
      <w:widowControl w:val="0"/>
      <w:ind w:left="720"/>
    </w:pPr>
    <w:rPr>
      <w:lang w:eastAsia="en-US"/>
    </w:rPr>
  </w:style>
  <w:style w:type="paragraph" w:customStyle="1" w:styleId="Default">
    <w:name w:val="Default"/>
    <w:rsid w:val="0089206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olorfulList-Accent11">
    <w:name w:val="Colorful List - Accent 11"/>
    <w:basedOn w:val="Normal"/>
    <w:uiPriority w:val="99"/>
    <w:rsid w:val="00892068"/>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Schmidt (Aneurin Bevan UHB - Paediatrics)</dc:creator>
  <cp:keywords/>
  <dc:description/>
  <cp:lastModifiedBy>Marion Schmidt (Aneurin Bevan UHB - Paediatrics)</cp:lastModifiedBy>
  <cp:revision>2</cp:revision>
  <dcterms:created xsi:type="dcterms:W3CDTF">2020-12-07T19:12:00Z</dcterms:created>
  <dcterms:modified xsi:type="dcterms:W3CDTF">2020-12-07T19:12:00Z</dcterms:modified>
</cp:coreProperties>
</file>