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93" w:rsidRDefault="00084993" w:rsidP="00084993">
      <w:pPr>
        <w:jc w:val="center"/>
        <w:rPr>
          <w:b/>
          <w:szCs w:val="24"/>
          <w:u w:val="single"/>
        </w:rPr>
      </w:pPr>
      <w:bookmarkStart w:id="0" w:name="Section15"/>
      <w:r w:rsidRPr="002467B8">
        <w:rPr>
          <w:b/>
          <w:szCs w:val="24"/>
          <w:u w:val="single"/>
        </w:rPr>
        <w:t>15. Eating Disorders</w:t>
      </w:r>
    </w:p>
    <w:bookmarkEnd w:id="0"/>
    <w:p w:rsidR="00084993" w:rsidRPr="002467B8" w:rsidRDefault="00084993" w:rsidP="00084993">
      <w:pPr>
        <w:jc w:val="center"/>
        <w:rPr>
          <w:b/>
          <w:szCs w:val="24"/>
          <w:u w:val="single"/>
        </w:rPr>
      </w:pPr>
    </w:p>
    <w:p w:rsidR="00084993" w:rsidRDefault="00084993" w:rsidP="00084993">
      <w:pPr>
        <w:rPr>
          <w:b/>
          <w:szCs w:val="24"/>
        </w:rPr>
      </w:pPr>
      <w:r w:rsidRPr="00AD73CC">
        <w:rPr>
          <w:b/>
          <w:szCs w:val="24"/>
        </w:rPr>
        <w:t>Background</w:t>
      </w:r>
    </w:p>
    <w:p w:rsidR="00084993" w:rsidRPr="00AD73CC" w:rsidRDefault="00084993" w:rsidP="00084993">
      <w:pPr>
        <w:rPr>
          <w:b/>
          <w:szCs w:val="24"/>
        </w:rPr>
      </w:pPr>
    </w:p>
    <w:p w:rsidR="00084993" w:rsidRDefault="00084993" w:rsidP="00084993">
      <w:pPr>
        <w:rPr>
          <w:szCs w:val="24"/>
        </w:rPr>
      </w:pPr>
      <w:r w:rsidRPr="00AD73CC">
        <w:rPr>
          <w:szCs w:val="24"/>
        </w:rPr>
        <w:t>Relatively common – 0.5</w:t>
      </w:r>
      <w:r>
        <w:rPr>
          <w:szCs w:val="24"/>
        </w:rPr>
        <w:t>-0.7</w:t>
      </w:r>
      <w:r w:rsidRPr="00AD73CC">
        <w:rPr>
          <w:szCs w:val="24"/>
        </w:rPr>
        <w:t>% adolescent females have anorexia nervosa, 5-10% of eating disorders occur in males.</w:t>
      </w:r>
    </w:p>
    <w:p w:rsidR="00084993" w:rsidRPr="00AD73CC" w:rsidRDefault="00084993" w:rsidP="00084993">
      <w:pPr>
        <w:rPr>
          <w:szCs w:val="24"/>
        </w:rPr>
      </w:pPr>
      <w:r>
        <w:rPr>
          <w:szCs w:val="24"/>
        </w:rPr>
        <w:t>Anorexia nervosa associated with significant morbidity and 5% mortality.</w:t>
      </w:r>
    </w:p>
    <w:p w:rsidR="00084993" w:rsidRDefault="00084993" w:rsidP="00084993">
      <w:pPr>
        <w:rPr>
          <w:szCs w:val="24"/>
        </w:rPr>
      </w:pPr>
      <w:r>
        <w:rPr>
          <w:szCs w:val="24"/>
        </w:rPr>
        <w:t xml:space="preserve">Incidence increasing in younger </w:t>
      </w:r>
      <w:r w:rsidRPr="00AD73CC">
        <w:rPr>
          <w:szCs w:val="24"/>
        </w:rPr>
        <w:t>children, where there is less predominance of female cases</w:t>
      </w:r>
    </w:p>
    <w:p w:rsidR="00084993" w:rsidRPr="00AD73CC" w:rsidRDefault="00084993" w:rsidP="00084993">
      <w:pPr>
        <w:rPr>
          <w:szCs w:val="24"/>
        </w:rPr>
      </w:pPr>
    </w:p>
    <w:p w:rsidR="00084993" w:rsidRDefault="00084993" w:rsidP="00084993">
      <w:pPr>
        <w:rPr>
          <w:szCs w:val="24"/>
        </w:rPr>
      </w:pPr>
      <w:r w:rsidRPr="00AD73CC">
        <w:rPr>
          <w:szCs w:val="24"/>
        </w:rPr>
        <w:t>Early recognition and management generally result in better outcomes</w:t>
      </w:r>
      <w:r>
        <w:rPr>
          <w:szCs w:val="24"/>
        </w:rPr>
        <w:t>.</w:t>
      </w:r>
    </w:p>
    <w:p w:rsidR="00084993" w:rsidRPr="00AD73CC" w:rsidRDefault="00084993" w:rsidP="00084993">
      <w:pPr>
        <w:rPr>
          <w:szCs w:val="24"/>
        </w:rPr>
      </w:pPr>
    </w:p>
    <w:p w:rsidR="00084993" w:rsidRDefault="00084993" w:rsidP="00084993">
      <w:pPr>
        <w:rPr>
          <w:szCs w:val="24"/>
        </w:rPr>
      </w:pPr>
      <w:r w:rsidRPr="00AD73CC">
        <w:rPr>
          <w:szCs w:val="24"/>
        </w:rPr>
        <w:t>Children may be referred to the Assessment Unit by colleagues</w:t>
      </w:r>
      <w:r>
        <w:rPr>
          <w:szCs w:val="24"/>
        </w:rPr>
        <w:t xml:space="preserve"> </w:t>
      </w:r>
      <w:r w:rsidRPr="00AD73CC">
        <w:rPr>
          <w:szCs w:val="24"/>
        </w:rPr>
        <w:t>in the Child and Family Psychological Health Service for a physical health assessment, or they may be referred by the GP</w:t>
      </w:r>
      <w:r>
        <w:rPr>
          <w:szCs w:val="24"/>
        </w:rPr>
        <w:t>,</w:t>
      </w:r>
      <w:r w:rsidRPr="00AD73CC">
        <w:rPr>
          <w:szCs w:val="24"/>
        </w:rPr>
        <w:t xml:space="preserve"> or during assessment of other issues it may become apparent the child or young person has a potential eating disorder</w:t>
      </w:r>
      <w:r>
        <w:rPr>
          <w:szCs w:val="24"/>
        </w:rPr>
        <w:t>.</w:t>
      </w:r>
    </w:p>
    <w:p w:rsidR="00084993" w:rsidRDefault="00084993" w:rsidP="00084993">
      <w:pPr>
        <w:rPr>
          <w:szCs w:val="24"/>
        </w:rPr>
      </w:pPr>
    </w:p>
    <w:p w:rsidR="00084993" w:rsidRDefault="00084993" w:rsidP="00084993">
      <w:pPr>
        <w:rPr>
          <w:szCs w:val="24"/>
        </w:rPr>
      </w:pPr>
      <w:r>
        <w:rPr>
          <w:szCs w:val="24"/>
        </w:rPr>
        <w:t xml:space="preserve">Diagnostic criteria used in adults, particularly for anorexia, are not fully applicable to children and adolescents whose weight may not fall to 85% ideal weight, and who may be pre-pubertal and therefore not attained menarche. </w:t>
      </w:r>
    </w:p>
    <w:p w:rsidR="00084993" w:rsidRDefault="00084993" w:rsidP="00084993">
      <w:pPr>
        <w:rPr>
          <w:szCs w:val="24"/>
        </w:rPr>
      </w:pPr>
    </w:p>
    <w:p w:rsidR="00084993" w:rsidRDefault="00084993" w:rsidP="00084993">
      <w:pPr>
        <w:rPr>
          <w:b/>
          <w:szCs w:val="24"/>
        </w:rPr>
      </w:pPr>
      <w:r w:rsidRPr="00877295">
        <w:rPr>
          <w:b/>
          <w:szCs w:val="24"/>
        </w:rPr>
        <w:t xml:space="preserve">NB. Adolescents can present with eating disorders at ‘normal’ body weights/ BMI, especially if there is a history of preceding obesity. </w:t>
      </w:r>
    </w:p>
    <w:p w:rsidR="00084993" w:rsidRPr="00877295" w:rsidRDefault="00084993" w:rsidP="00084993">
      <w:pPr>
        <w:rPr>
          <w:b/>
          <w:szCs w:val="24"/>
        </w:rPr>
      </w:pPr>
    </w:p>
    <w:p w:rsidR="00084993" w:rsidRDefault="00084993" w:rsidP="00084993">
      <w:pPr>
        <w:rPr>
          <w:b/>
          <w:szCs w:val="24"/>
        </w:rPr>
      </w:pPr>
      <w:r w:rsidRPr="00877295">
        <w:rPr>
          <w:b/>
          <w:szCs w:val="24"/>
        </w:rPr>
        <w:t>History</w:t>
      </w:r>
    </w:p>
    <w:p w:rsidR="00084993" w:rsidRDefault="00084993" w:rsidP="00084993">
      <w:pPr>
        <w:rPr>
          <w:szCs w:val="24"/>
        </w:rPr>
      </w:pPr>
      <w:r>
        <w:rPr>
          <w:szCs w:val="24"/>
        </w:rPr>
        <w:t>Weight – ask about duration and degree of weight loss, and whether trying to reach any target weight. Is anyone else (friends, teachers, parents) concerned about their weight?</w:t>
      </w:r>
    </w:p>
    <w:p w:rsidR="00084993" w:rsidRDefault="00084993" w:rsidP="00084993">
      <w:pPr>
        <w:rPr>
          <w:szCs w:val="24"/>
        </w:rPr>
      </w:pPr>
      <w:r>
        <w:rPr>
          <w:szCs w:val="24"/>
        </w:rPr>
        <w:t>Diet – 24 hour diet history, whether avoiding any food groups, calorie counting, and history of bingeing or vomiting after meals. Include history of fluid intake.</w:t>
      </w:r>
    </w:p>
    <w:p w:rsidR="00084993" w:rsidRDefault="00084993" w:rsidP="00084993">
      <w:pPr>
        <w:rPr>
          <w:szCs w:val="24"/>
        </w:rPr>
      </w:pPr>
      <w:r>
        <w:rPr>
          <w:szCs w:val="24"/>
        </w:rPr>
        <w:t>Pubertal development – age at menarche, regularity of periods, LMP</w:t>
      </w:r>
    </w:p>
    <w:p w:rsidR="00084993" w:rsidRDefault="00084993" w:rsidP="00084993">
      <w:pPr>
        <w:rPr>
          <w:szCs w:val="24"/>
        </w:rPr>
      </w:pPr>
      <w:r>
        <w:rPr>
          <w:szCs w:val="24"/>
        </w:rPr>
        <w:t>Exercise – how frequent, what intensity?</w:t>
      </w:r>
    </w:p>
    <w:p w:rsidR="00084993" w:rsidRDefault="00084993" w:rsidP="00084993">
      <w:pPr>
        <w:rPr>
          <w:szCs w:val="24"/>
        </w:rPr>
      </w:pPr>
      <w:r>
        <w:rPr>
          <w:szCs w:val="24"/>
        </w:rPr>
        <w:t>Systems review – dizziness, syncope, cold intolerance, hair loss, easy bruising, constipation, abdominal pain, palpitations, poor concentration, tiredness</w:t>
      </w:r>
    </w:p>
    <w:p w:rsidR="00084993" w:rsidRDefault="00084993" w:rsidP="00084993">
      <w:pPr>
        <w:rPr>
          <w:szCs w:val="24"/>
        </w:rPr>
      </w:pPr>
      <w:r>
        <w:rPr>
          <w:szCs w:val="24"/>
        </w:rPr>
        <w:t>Family history – obesity, eating disorder, psychiatric illness</w:t>
      </w:r>
    </w:p>
    <w:p w:rsidR="00084993" w:rsidRDefault="00084993" w:rsidP="00084993">
      <w:pPr>
        <w:rPr>
          <w:szCs w:val="24"/>
        </w:rPr>
      </w:pPr>
      <w:r>
        <w:rPr>
          <w:szCs w:val="24"/>
        </w:rPr>
        <w:t>Other – any thoughts or history of self harm, substance misuse. Consider using HEADSSS assessment.</w:t>
      </w:r>
    </w:p>
    <w:p w:rsidR="00084993" w:rsidRDefault="00084993" w:rsidP="00084993">
      <w:pPr>
        <w:rPr>
          <w:szCs w:val="24"/>
        </w:rPr>
      </w:pPr>
    </w:p>
    <w:p w:rsidR="00084993" w:rsidRDefault="00084993" w:rsidP="00084993">
      <w:pPr>
        <w:rPr>
          <w:b/>
          <w:szCs w:val="24"/>
        </w:rPr>
      </w:pPr>
      <w:r>
        <w:rPr>
          <w:b/>
          <w:szCs w:val="24"/>
        </w:rPr>
        <w:t>Examination</w:t>
      </w:r>
    </w:p>
    <w:p w:rsidR="00084993" w:rsidRDefault="00084993" w:rsidP="00084993">
      <w:pPr>
        <w:rPr>
          <w:szCs w:val="24"/>
        </w:rPr>
      </w:pPr>
      <w:r>
        <w:rPr>
          <w:szCs w:val="24"/>
        </w:rPr>
        <w:t>Accurate weight and height, plotted on growth chart</w:t>
      </w:r>
    </w:p>
    <w:p w:rsidR="00084993" w:rsidRDefault="00084993" w:rsidP="00084993">
      <w:pPr>
        <w:rPr>
          <w:szCs w:val="24"/>
        </w:rPr>
      </w:pPr>
      <w:r>
        <w:rPr>
          <w:szCs w:val="24"/>
        </w:rPr>
        <w:t>Plot BMI on growth chart (see instructions on new 2012 growth charts for doing this).</w:t>
      </w:r>
    </w:p>
    <w:p w:rsidR="00084993" w:rsidRDefault="00084993" w:rsidP="00084993">
      <w:pPr>
        <w:rPr>
          <w:szCs w:val="24"/>
        </w:rPr>
      </w:pPr>
    </w:p>
    <w:p w:rsidR="00084993" w:rsidRDefault="00084993" w:rsidP="00084993">
      <w:pPr>
        <w:rPr>
          <w:szCs w:val="24"/>
        </w:rPr>
      </w:pPr>
      <w:r>
        <w:rPr>
          <w:szCs w:val="24"/>
        </w:rPr>
        <w:t>If plotting on 2</w:t>
      </w:r>
      <w:r w:rsidRPr="0007101C">
        <w:rPr>
          <w:szCs w:val="24"/>
          <w:vertAlign w:val="superscript"/>
        </w:rPr>
        <w:t>nd</w:t>
      </w:r>
      <w:r>
        <w:rPr>
          <w:szCs w:val="24"/>
        </w:rPr>
        <w:t xml:space="preserve"> centile or less, calculate percentage median BMI.</w:t>
      </w:r>
    </w:p>
    <w:p w:rsidR="00084993" w:rsidRDefault="00084993" w:rsidP="00084993">
      <w:pPr>
        <w:rPr>
          <w:szCs w:val="24"/>
          <w:u w:val="single"/>
        </w:rPr>
      </w:pPr>
      <w:r>
        <w:rPr>
          <w:szCs w:val="24"/>
        </w:rPr>
        <w:t>Percentage BMI =</w:t>
      </w:r>
      <w:r>
        <w:rPr>
          <w:szCs w:val="24"/>
        </w:rPr>
        <w:tab/>
        <w:t xml:space="preserve"> </w:t>
      </w:r>
      <w:r w:rsidRPr="00783B88">
        <w:rPr>
          <w:szCs w:val="24"/>
          <w:u w:val="single"/>
        </w:rPr>
        <w:t>actual BMI (weight/height</w:t>
      </w:r>
      <w:r w:rsidRPr="00783B88">
        <w:rPr>
          <w:szCs w:val="24"/>
          <w:u w:val="single"/>
          <w:vertAlign w:val="superscript"/>
        </w:rPr>
        <w:t>2</w:t>
      </w:r>
      <w:r w:rsidRPr="00783B88">
        <w:rPr>
          <w:szCs w:val="24"/>
          <w:u w:val="single"/>
        </w:rPr>
        <w:t>)</w:t>
      </w:r>
      <w:r>
        <w:rPr>
          <w:szCs w:val="24"/>
          <w:u w:val="single"/>
        </w:rPr>
        <w:t xml:space="preserve">    x    100   </w:t>
      </w:r>
    </w:p>
    <w:p w:rsidR="00084993" w:rsidRDefault="00084993" w:rsidP="00084993">
      <w:pPr>
        <w:rPr>
          <w:szCs w:val="24"/>
        </w:rPr>
      </w:pPr>
      <w:r>
        <w:rPr>
          <w:szCs w:val="24"/>
        </w:rPr>
        <w:tab/>
      </w:r>
      <w:r>
        <w:rPr>
          <w:szCs w:val="24"/>
        </w:rPr>
        <w:tab/>
        <w:t xml:space="preserve">      Median BMI (50</w:t>
      </w:r>
      <w:r w:rsidRPr="00783B88">
        <w:rPr>
          <w:szCs w:val="24"/>
          <w:vertAlign w:val="superscript"/>
        </w:rPr>
        <w:t>th</w:t>
      </w:r>
      <w:r>
        <w:rPr>
          <w:szCs w:val="24"/>
        </w:rPr>
        <w:t xml:space="preserve"> percentile) for age &amp; gender</w:t>
      </w:r>
    </w:p>
    <w:p w:rsidR="00084993" w:rsidRDefault="00084993" w:rsidP="00084993">
      <w:pPr>
        <w:rPr>
          <w:szCs w:val="24"/>
        </w:rPr>
      </w:pPr>
    </w:p>
    <w:p w:rsidR="00084993" w:rsidRDefault="00084993" w:rsidP="00084993">
      <w:pPr>
        <w:rPr>
          <w:szCs w:val="24"/>
        </w:rPr>
      </w:pPr>
      <w:r w:rsidRPr="002467B8">
        <w:rPr>
          <w:b/>
          <w:szCs w:val="24"/>
        </w:rPr>
        <w:t>General physical examination</w:t>
      </w:r>
      <w:r>
        <w:rPr>
          <w:szCs w:val="24"/>
        </w:rPr>
        <w:t>, paying particular attention to;</w:t>
      </w:r>
    </w:p>
    <w:p w:rsidR="00084993" w:rsidRDefault="00084993" w:rsidP="00084993">
      <w:pPr>
        <w:rPr>
          <w:szCs w:val="24"/>
        </w:rPr>
      </w:pPr>
    </w:p>
    <w:p w:rsidR="00084993" w:rsidRDefault="00084993" w:rsidP="00084993">
      <w:pPr>
        <w:numPr>
          <w:ilvl w:val="0"/>
          <w:numId w:val="6"/>
        </w:numPr>
        <w:rPr>
          <w:szCs w:val="24"/>
        </w:rPr>
      </w:pPr>
      <w:r>
        <w:rPr>
          <w:szCs w:val="24"/>
        </w:rPr>
        <w:t>Temperature, hydration status, skin &amp; hair</w:t>
      </w:r>
    </w:p>
    <w:p w:rsidR="00084993" w:rsidRPr="00783B88" w:rsidRDefault="00084993" w:rsidP="00084993">
      <w:pPr>
        <w:numPr>
          <w:ilvl w:val="0"/>
          <w:numId w:val="6"/>
        </w:numPr>
        <w:rPr>
          <w:szCs w:val="24"/>
        </w:rPr>
      </w:pPr>
      <w:r>
        <w:rPr>
          <w:szCs w:val="24"/>
        </w:rPr>
        <w:t>Cardiovascular system – bradycardia, cool peripheries, blood pressure, postural hypotension, arrhythmias</w:t>
      </w:r>
    </w:p>
    <w:p w:rsidR="00084993" w:rsidRDefault="00084993" w:rsidP="00084993">
      <w:pPr>
        <w:numPr>
          <w:ilvl w:val="0"/>
          <w:numId w:val="6"/>
        </w:numPr>
        <w:rPr>
          <w:szCs w:val="24"/>
        </w:rPr>
      </w:pPr>
      <w:r>
        <w:rPr>
          <w:szCs w:val="24"/>
        </w:rPr>
        <w:t>Signs of recurrent vomiting  - gingivitis, dental caries, swollen parotid glands, callouses on hands, loss of tooth enamel</w:t>
      </w:r>
    </w:p>
    <w:p w:rsidR="00084993" w:rsidRDefault="00084993" w:rsidP="00084993">
      <w:pPr>
        <w:numPr>
          <w:ilvl w:val="0"/>
          <w:numId w:val="6"/>
        </w:numPr>
        <w:rPr>
          <w:szCs w:val="24"/>
        </w:rPr>
      </w:pPr>
      <w:r>
        <w:rPr>
          <w:szCs w:val="24"/>
        </w:rPr>
        <w:t>Pubertal development – prepubertal, entering puberty or completing puberty (see 2012 growth charts for definitions)</w:t>
      </w:r>
    </w:p>
    <w:p w:rsidR="00084993" w:rsidRDefault="00084993" w:rsidP="00084993">
      <w:pPr>
        <w:numPr>
          <w:ilvl w:val="0"/>
          <w:numId w:val="6"/>
        </w:numPr>
        <w:rPr>
          <w:szCs w:val="24"/>
        </w:rPr>
      </w:pPr>
      <w:r>
        <w:rPr>
          <w:szCs w:val="24"/>
        </w:rPr>
        <w:t>Signs to suggest alternative diagnosis – lymphadenopathy, mouth ulceration, abdominal tenderness or mass, hepatosplenomegaly</w:t>
      </w:r>
    </w:p>
    <w:p w:rsidR="00084993" w:rsidRDefault="00084993" w:rsidP="00084993">
      <w:pPr>
        <w:rPr>
          <w:b/>
          <w:szCs w:val="24"/>
        </w:rPr>
      </w:pPr>
    </w:p>
    <w:p w:rsidR="00084993" w:rsidRDefault="00084993" w:rsidP="00084993">
      <w:pPr>
        <w:rPr>
          <w:b/>
          <w:szCs w:val="24"/>
        </w:rPr>
      </w:pPr>
    </w:p>
    <w:p w:rsidR="00084993" w:rsidRPr="0003091A" w:rsidRDefault="00084993" w:rsidP="00084993">
      <w:pPr>
        <w:rPr>
          <w:b/>
          <w:sz w:val="32"/>
          <w:szCs w:val="32"/>
        </w:rPr>
      </w:pPr>
      <w:r w:rsidRPr="0003091A">
        <w:rPr>
          <w:b/>
          <w:sz w:val="32"/>
          <w:szCs w:val="32"/>
        </w:rPr>
        <w:t>Please fill in the following check list</w:t>
      </w:r>
      <w:r>
        <w:rPr>
          <w:b/>
          <w:sz w:val="32"/>
          <w:szCs w:val="32"/>
        </w:rPr>
        <w:t>s</w:t>
      </w:r>
      <w:r w:rsidRPr="0003091A">
        <w:rPr>
          <w:b/>
          <w:sz w:val="32"/>
          <w:szCs w:val="32"/>
        </w:rPr>
        <w:t xml:space="preserve"> and attach to notes </w:t>
      </w:r>
      <w:r>
        <w:rPr>
          <w:b/>
          <w:sz w:val="32"/>
          <w:szCs w:val="32"/>
        </w:rPr>
        <w:t>(page 244/245)</w:t>
      </w: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r>
        <w:rPr>
          <w:b/>
          <w:szCs w:val="24"/>
        </w:rPr>
        <w:br w:type="page"/>
      </w:r>
    </w:p>
    <w:p w:rsidR="00084993" w:rsidRDefault="00084993" w:rsidP="00084993">
      <w:pPr>
        <w:jc w:val="center"/>
        <w:rPr>
          <w:b/>
          <w:u w:val="single"/>
        </w:rPr>
      </w:pPr>
      <w:r>
        <w:rPr>
          <w:b/>
          <w:u w:val="single"/>
        </w:rPr>
        <w:lastRenderedPageBreak/>
        <w:t>Paediatric Checklist for Patients Admitted for Refeeding in Anorexia Nervosa</w:t>
      </w:r>
    </w:p>
    <w:p w:rsidR="00084993" w:rsidRDefault="00084993" w:rsidP="00084993">
      <w:pPr>
        <w:jc w:val="center"/>
        <w:rPr>
          <w:b/>
          <w:u w:val="single"/>
        </w:rPr>
      </w:pPr>
    </w:p>
    <w:p w:rsidR="00084993" w:rsidRDefault="00084993" w:rsidP="00084993">
      <w:pPr>
        <w:jc w:val="center"/>
        <w:rPr>
          <w:b/>
        </w:rPr>
      </w:pPr>
      <w:r>
        <w:rPr>
          <w:b/>
        </w:rPr>
        <w:t>Please place in notes at time of admission</w:t>
      </w:r>
    </w:p>
    <w:p w:rsidR="00084993" w:rsidRDefault="00084993" w:rsidP="00084993">
      <w:pPr>
        <w:jc w:val="center"/>
        <w:rPr>
          <w:b/>
          <w:u w:val="single"/>
        </w:rPr>
      </w:pPr>
      <w:r w:rsidRPr="007E3A51">
        <w:rPr>
          <w:noProof/>
        </w:rPr>
        <mc:AlternateContent>
          <mc:Choice Requires="wps">
            <w:drawing>
              <wp:anchor distT="0" distB="0" distL="114300" distR="114300" simplePos="0" relativeHeight="251714560" behindDoc="0" locked="0" layoutInCell="1" allowOverlap="1">
                <wp:simplePos x="0" y="0"/>
                <wp:positionH relativeFrom="column">
                  <wp:posOffset>5267325</wp:posOffset>
                </wp:positionH>
                <wp:positionV relativeFrom="paragraph">
                  <wp:posOffset>148590</wp:posOffset>
                </wp:positionV>
                <wp:extent cx="333375" cy="266700"/>
                <wp:effectExtent l="7620" t="5715" r="11430" b="1333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4ABFB" id="Rectangle 113" o:spid="_x0000_s1026" style="position:absolute;margin-left:414.75pt;margin-top:11.7pt;width:26.2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BIgIAAD8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VUu/EVZwY6&#10;KtJnkg1MoyWLlyRR73xBkU/uEWOS3j1Y8c0zY9ctxck7RNu3EioiNo7x2YsH0fD0lG37D7YifNgF&#10;m9Q61NhFQNKBHVJRjueiyENggi6vaC1mnAlyTebzRZ6KlkHx/NihD++k7Vg8lByJfAKH/YMPkQwU&#10;zyGJvNWq2iitk4HNdq2R7YH6Y5NW4k85XoZpw/qS38wms4T8wucvIfK0/gbRqUCNrlVX8utzEBRR&#10;tbemSm0YQOnhTJS1OckYlRsqsLXVkVREO3QxTR0dWos/OOupg0vuv+8AJWf6vaFK3Iyn09jyyZjO&#10;FhMy8NKzvfSAEQRV8sDZcFyHYUx2DlXT0k/jlLuxd1S9WiVlY2UHViey1KVJ8NNExTG4tFPUr7lf&#10;/QQAAP//AwBQSwMEFAAGAAgAAAAhAD51hCrfAAAACQEAAA8AAABkcnMvZG93bnJldi54bWxMj8tO&#10;wzAQRfdI/IM1SOyog/tQGuJUCFQklm26YefEQxKIx1HstIGvZ1jBcjRH956b72bXizOOofOk4X6R&#10;gECqve2o0XAq93cpiBANWdN7Qg1fGGBXXF/lJrP+Qgc8H2MjOIRCZjS0MQ6ZlKFu0Zmw8AMS/979&#10;6Ezkc2ykHc2Fw10vVZJspDMdcUNrBnxqsf48Tk5D1amT+T6UL4nb7pfxdS4/prdnrW9v5scHEBHn&#10;+AfDrz6rQ8FOlZ/IBtFrSNV2zagGtVyBYCBNFY+rNGzWK5BFLv8vKH4AAAD//wMAUEsBAi0AFAAG&#10;AAgAAAAhALaDOJL+AAAA4QEAABMAAAAAAAAAAAAAAAAAAAAAAFtDb250ZW50X1R5cGVzXS54bWxQ&#10;SwECLQAUAAYACAAAACEAOP0h/9YAAACUAQAACwAAAAAAAAAAAAAAAAAvAQAAX3JlbHMvLnJlbHNQ&#10;SwECLQAUAAYACAAAACEAv7PdwSICAAA/BAAADgAAAAAAAAAAAAAAAAAuAgAAZHJzL2Uyb0RvYy54&#10;bWxQSwECLQAUAAYACAAAACEAPnWEKt8AAAAJAQAADwAAAAAAAAAAAAAAAAB8BAAAZHJzL2Rvd25y&#10;ZXYueG1sUEsFBgAAAAAEAAQA8wAAAIgFAAAAAA==&#10;"/>
            </w:pict>
          </mc:Fallback>
        </mc:AlternateContent>
      </w:r>
    </w:p>
    <w:p w:rsidR="00084993" w:rsidRDefault="00084993" w:rsidP="00084993">
      <w:pPr>
        <w:rPr>
          <w:sz w:val="36"/>
          <w:szCs w:val="36"/>
        </w:rPr>
      </w:pPr>
      <w:r>
        <w:rPr>
          <w:sz w:val="36"/>
          <w:szCs w:val="36"/>
        </w:rPr>
        <w:t>Calculate BMI</w:t>
      </w:r>
      <w:r>
        <w:rPr>
          <w:sz w:val="36"/>
          <w:szCs w:val="36"/>
        </w:rPr>
        <w:tab/>
      </w:r>
      <w:r>
        <w:rPr>
          <w:sz w:val="36"/>
          <w:szCs w:val="36"/>
        </w:rPr>
        <w:tab/>
        <w:t>_______kg/m</w:t>
      </w:r>
      <w:r>
        <w:rPr>
          <w:sz w:val="36"/>
          <w:szCs w:val="36"/>
          <w:vertAlign w:val="superscript"/>
        </w:rPr>
        <w:t>2</w:t>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15584" behindDoc="0" locked="0" layoutInCell="1" allowOverlap="1">
                <wp:simplePos x="0" y="0"/>
                <wp:positionH relativeFrom="column">
                  <wp:posOffset>5267325</wp:posOffset>
                </wp:positionH>
                <wp:positionV relativeFrom="paragraph">
                  <wp:posOffset>28575</wp:posOffset>
                </wp:positionV>
                <wp:extent cx="333375" cy="266700"/>
                <wp:effectExtent l="7620" t="5715" r="11430" b="133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BB7B" id="Rectangle 112" o:spid="_x0000_s1026" style="position:absolute;margin-left:414.75pt;margin-top:2.25pt;width:26.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hvIQIAAD8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xdUVJimMYi&#10;fUHZmOmUIPESJRqcrzDy0T1ATNK7e8u/e2Lsusc4cQtgh16wBokVMT578SAaHp+S7fDRNojPdsEm&#10;tQ4t6AiIOpBDKsrxXBRxCITj5VtcixklHF3lfL7IU9EyVj0/duDDe2E1iYeaApJP4Gx/70Mkw6rn&#10;kETeKtlspFLJgG67VkD2DPtjk1bijzlehilDhppez8pZQn7h85cQeVp/g9AyYKMrqWt6dQ5iVVTt&#10;nWlSGwYm1XhGysqcZIzKjRXY2uaIKoIduxinDg+9hZ+UDNjBNfU/dgwEJeqDwUpcF9NpbPlkTGeL&#10;Eg249GwvPcxwhKppoGQ8rsM4JjsHsuvxpyLlbuwtVq+VSdlY2ZHViSx2aRL8NFFxDC7tFPVr7ldP&#10;AAAA//8DAFBLAwQUAAYACAAAACEA+rCIzN0AAAAIAQAADwAAAGRycy9kb3ducmV2LnhtbEyPQU+D&#10;QBCF7yb+h82YeLOLaBtKWRqjqYnHll68DTAClZ0l7NKiv97xpKfJy3t5871sO9tenWn0nWMD94sI&#10;FHHl6o4bA8did5eA8gG5xt4xGfgiD9v8+irDtHYX3tP5EBolJexTNNCGMKRa+6oli37hBmLxPtxo&#10;MYgcG12PeJFy2+s4ilbaYsfyocWBnluqPg+TNVB28RG/98VrZNe7h/A2F6fp/cWY25v5aQMq0Bz+&#10;wvCLL+iQC1PpJq696g0k8XopUQOPcsRPkli2laJXS9B5pv8PyH8AAAD//wMAUEsBAi0AFAAGAAgA&#10;AAAhALaDOJL+AAAA4QEAABMAAAAAAAAAAAAAAAAAAAAAAFtDb250ZW50X1R5cGVzXS54bWxQSwEC&#10;LQAUAAYACAAAACEAOP0h/9YAAACUAQAACwAAAAAAAAAAAAAAAAAvAQAAX3JlbHMvLnJlbHNQSwEC&#10;LQAUAAYACAAAACEAJr9IbyECAAA/BAAADgAAAAAAAAAAAAAAAAAuAgAAZHJzL2Uyb0RvYy54bWxQ&#10;SwECLQAUAAYACAAAACEA+rCIzN0AAAAIAQAADwAAAAAAAAAAAAAAAAB7BAAAZHJzL2Rvd25yZXYu&#10;eG1sUEsFBgAAAAAEAAQA8wAAAIUFAAAAAA==&#10;"/>
            </w:pict>
          </mc:Fallback>
        </mc:AlternateContent>
      </w:r>
      <w:r>
        <w:rPr>
          <w:sz w:val="36"/>
          <w:szCs w:val="36"/>
        </w:rPr>
        <w:t xml:space="preserve">Baseline bloods taken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r>
        <w:rPr>
          <w:sz w:val="36"/>
          <w:szCs w:val="36"/>
        </w:rPr>
        <w:t>(</w:t>
      </w:r>
      <w:r>
        <w:rPr>
          <w:sz w:val="28"/>
          <w:szCs w:val="28"/>
        </w:rPr>
        <w:t>FBC, U&amp;E, LFT, TFT, bone profile, magnesium, glucose, vitamin D</w:t>
      </w:r>
      <w:r>
        <w:rPr>
          <w:sz w:val="36"/>
          <w:szCs w:val="36"/>
        </w:rPr>
        <w:t>)</w:t>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16608" behindDoc="0" locked="0" layoutInCell="1" allowOverlap="1">
                <wp:simplePos x="0" y="0"/>
                <wp:positionH relativeFrom="column">
                  <wp:posOffset>5267325</wp:posOffset>
                </wp:positionH>
                <wp:positionV relativeFrom="paragraph">
                  <wp:posOffset>1905</wp:posOffset>
                </wp:positionV>
                <wp:extent cx="333375" cy="266700"/>
                <wp:effectExtent l="7620" t="7620" r="11430" b="1143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485" id="Rectangle 111" o:spid="_x0000_s1026" style="position:absolute;margin-left:414.75pt;margin-top:.15pt;width:26.2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ZHIQIAAD8EAAAOAAAAZHJzL2Uyb0RvYy54bWysU1Fv0zAQfkfiP1h+p0lL221R02nqKEIa&#10;MDH4Aa7jJBa2z5zdpuXX7+K0pQOeEH6wfL7z5+++u1vc7q1hO4VBgyv5eJRzppyESrum5N++rt9c&#10;cxaicJUw4FTJDyrw2+XrV4vOF2oCLZhKISMQF4rOl7yN0RdZFmSrrAgj8MqRswa0IpKJTVah6Ajd&#10;mmyS5/OsA6w8glQh0O394OTLhF/XSsbPdR1UZKbkxC2mHdO+6fdsuRBFg8K3Wh5piH9gYYV29OkZ&#10;6l5Ewbao/4CyWiIEqONIgs2grrVUKQfKZpz/ls1TK7xKuZA4wZ9lCv8PVn7aPSLTFdVuPObMCUtF&#10;+kKyCdcYxfpLkqjzoaDIJ/+IfZLBP4D8HpiDVUtx6g4RulaJioil+OzFg94I9JRtuo9QEb7YRkhq&#10;7Wu0PSDpwPapKIdzUdQ+MkmXb2ldzTiT5JrM51d5KlomitNjjyG+V2BZfyg5EvkELnYPIRJ5Cj2F&#10;JPJgdLXWxiQDm83KINsJ6o91Wn2+9CRchhnHupLfzCazhPzCFy4h8rT+BmF1pEY32pb8+hwkil61&#10;d65KbRiFNsOZ/jeOaJyUGyqwgepAKiIMXUxTR4cW8CdnHXVwycOPrUDFmfngqBI34+m0b/lkTGdX&#10;EzLw0rO59AgnCarkkbPhuIrDmGw96qaln8Ypdwd3VL1aJ2V7fgOrI1nq0qTecaL6Mbi0U9SvuV8+&#10;AwAA//8DAFBLAwQUAAYACAAAACEApm7GGNwAAAAHAQAADwAAAGRycy9kb3ducmV2LnhtbEyPwU7D&#10;MBBE70j8g7VI3KiDAygN2VQIVCSObXrhtolNEojXUey0ga/HnMpxNKOZN8VmsYM4msn3jhFuVwkI&#10;w43TPbcIh2p7k4HwgVjT4NggfBsPm/LyoqBcuxPvzHEfWhFL2OeE0IUw5lL6pjOW/MqNhqP34SZL&#10;IcqplXqiUyy3g1RJ8iAt9RwXOhrNc2ear/1sEepeHehnV70mdr1Nw9tSfc7vL4jXV8vTI4hglnAO&#10;wx9+RIcyMtVuZu3FgJCp9X2MIqQgop1lKl6rEe5UCrIs5H/+8hcAAP//AwBQSwECLQAUAAYACAAA&#10;ACEAtoM4kv4AAADhAQAAEwAAAAAAAAAAAAAAAAAAAAAAW0NvbnRlbnRfVHlwZXNdLnhtbFBLAQIt&#10;ABQABgAIAAAAIQA4/SH/1gAAAJQBAAALAAAAAAAAAAAAAAAAAC8BAABfcmVscy8ucmVsc1BLAQIt&#10;ABQABgAIAAAAIQDMrIZHIQIAAD8EAAAOAAAAAAAAAAAAAAAAAC4CAABkcnMvZTJvRG9jLnhtbFBL&#10;AQItABQABgAIAAAAIQCmbsYY3AAAAAcBAAAPAAAAAAAAAAAAAAAAAHsEAABkcnMvZG93bnJldi54&#10;bWxQSwUGAAAAAAQABADzAAAAhAUAAAAA&#10;"/>
            </w:pict>
          </mc:Fallback>
        </mc:AlternateContent>
      </w:r>
      <w:r>
        <w:rPr>
          <w:sz w:val="36"/>
          <w:szCs w:val="36"/>
        </w:rPr>
        <w:t>ECG performed</w:t>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17632" behindDoc="0" locked="0" layoutInCell="1" allowOverlap="1">
                <wp:simplePos x="0" y="0"/>
                <wp:positionH relativeFrom="column">
                  <wp:posOffset>5267325</wp:posOffset>
                </wp:positionH>
                <wp:positionV relativeFrom="paragraph">
                  <wp:posOffset>47625</wp:posOffset>
                </wp:positionV>
                <wp:extent cx="333375" cy="266700"/>
                <wp:effectExtent l="7620" t="6985" r="11430" b="1206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A814" id="Rectangle 110" o:spid="_x0000_s1026" style="position:absolute;margin-left:414.75pt;margin-top:3.75pt;width:26.2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pIQIAAD8EAAAOAAAAZHJzL2Uyb0RvYy54bWysU9uO0zAQfUfiHyy/06Sll92o6WrVpQhp&#10;gRULH+A6TmLheMzYbVq+fsdOt3SBJ4QfLI9nfHzmzMzy5tAZtlfoNdiSj0c5Z8pKqLRtSv7t6+bN&#10;FWc+CFsJA1aV/Kg8v1m9frXsXaEm0IKpFDICsb7oXcnbEFyRZV62qhN+BE5ZctaAnQhkYpNVKHpC&#10;70w2yfN51gNWDkEq7+n2bnDyVcKvayXD57r2KjBTcuIW0o5p38Y9Wy1F0aBwrZYnGuIfWHRCW/r0&#10;DHUngmA71H9AdVoieKjDSEKXQV1rqVIOlM04/y2bx1Y4lXIhcbw7y+T/H6z8tH9Apiuq3Zj0saKj&#10;In0h2YRtjGLxkiTqnS8o8tE9YEzSu3uQ3z2zsG4pTt0iQt8qURGxcYzPXjyIhqenbNt/hIrwxS5A&#10;UutQYxcBSQd2SEU5nouiDoFJunxLazHjTJJrMp8v8sQoE8XzY4c+vFfQsXgoORL5BC729z5EMqJ4&#10;Dknkwehqo41JBjbbtUG2F9Qfm7QSf8rxMsxY1pf8ejaZJeQXPn8Jkaf1N4hOB2p0o7uSX52DRBFV&#10;e2er1IZBaDOcibKxJxmjckMFtlAdSUWEoYtp6ujQAv7krKcOLrn/sROoODMfLFXiejydxpZPxnS2&#10;mJCBl57tpUdYSVAlD5wNx3UYxmTnUDct/TROuVu4perVOikbKzuwOpGlLk2CnyYqjsGlnaJ+zf3q&#10;CQAA//8DAFBLAwQUAAYACAAAACEAu/926t0AAAAIAQAADwAAAGRycy9kb3ducmV2LnhtbEyPT0+D&#10;QBDF7yZ+h82YeLOL+I9ShsZoauKxpRdvA2wBZWcJu7Top3c81dNk5r28+b1sPdteHc3oO8cIt4sI&#10;lOHK1R03CPtic5OA8oG4pt6xQfg2Htb55UVGae1OvDXHXWiUhLBPCaENYUi19lVrLPmFGwyLdnCj&#10;pSDr2Oh6pJOE217HUfSoLXUsH1oazEtrqq/dZBHKLt7Tz7Z4i+xycxfe5+Jz+nhFvL6an1eggpnD&#10;2Qx/+IIOuTCVbuLaqx4hiZcPYkV4kiF6ksTSrUS4l7vOM/2/QP4LAAD//wMAUEsBAi0AFAAGAAgA&#10;AAAhALaDOJL+AAAA4QEAABMAAAAAAAAAAAAAAAAAAAAAAFtDb250ZW50X1R5cGVzXS54bWxQSwEC&#10;LQAUAAYACAAAACEAOP0h/9YAAACUAQAACwAAAAAAAAAAAAAAAAAvAQAAX3JlbHMvLnJlbHNQSwEC&#10;LQAUAAYACAAAACEAVaAT6SECAAA/BAAADgAAAAAAAAAAAAAAAAAuAgAAZHJzL2Uyb0RvYy54bWxQ&#10;SwECLQAUAAYACAAAACEAu/926t0AAAAIAQAADwAAAAAAAAAAAAAAAAB7BAAAZHJzL2Rvd25yZXYu&#10;eG1sUEsFBgAAAAAEAAQA8wAAAIUFAAAAAA==&#10;"/>
            </w:pict>
          </mc:Fallback>
        </mc:AlternateContent>
      </w:r>
      <w:r>
        <w:rPr>
          <w:sz w:val="36"/>
          <w:szCs w:val="36"/>
        </w:rPr>
        <w:t>Prescribe Forceval 1 capsule daily</w:t>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18656" behindDoc="0" locked="0" layoutInCell="1" allowOverlap="1">
                <wp:simplePos x="0" y="0"/>
                <wp:positionH relativeFrom="column">
                  <wp:posOffset>5267325</wp:posOffset>
                </wp:positionH>
                <wp:positionV relativeFrom="paragraph">
                  <wp:posOffset>26670</wp:posOffset>
                </wp:positionV>
                <wp:extent cx="333375" cy="266700"/>
                <wp:effectExtent l="7620" t="6985" r="11430" b="1206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2EBD" id="Rectangle 109" o:spid="_x0000_s1026" style="position:absolute;margin-left:414.75pt;margin-top:2.1pt;width:26.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S6IgIAAD8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EW1yxecWdFR&#10;kb6QbMI2RrF4SRL1zhcU+egeMCbp3T3I755ZWLcUp24RoW+VqIjYOMZnLx5Ew9NTtu0/QkX4Yhcg&#10;qXWosYuApAM7pKIcz0VRh8AkXb6ldTXjTJJrMp9f5alomSieHzv04b2CjsVDyZHIJ3Cxv/chkhHF&#10;c0giD0ZXG21MMrDZrg2yvaD+2KSV+FOOl2HGsr7ki9lklpBf+PwlRJ7W3yA6HajRje5Kfn0OEkVU&#10;7Z2tUhsGoc1wJsrGnmSMyg0V2EJ1JBURhi6mqaNDC/iTs546uOT+x06g4sx8sFSJxXg6jS2fjOns&#10;akIGXnq2lx5hJUGVPHA2HNdhGJOdQ9209NM45W7hlqpX66RsrOzA6kSWujQJfpqoOAaXdor6Nfer&#10;JwAAAP//AwBQSwMEFAAGAAgAAAAhANgYBtrdAAAACAEAAA8AAABkcnMvZG93bnJldi54bWxMj8FO&#10;wzAQRO9I/IO1SNyog4EqTeNUCFQkjm164baJt0kgtqPYaQNfz3Iqx9GMZt7km9n24kRj6LzTcL9I&#10;QJCrvelco+FQbu9SECGiM9h7Rxq+KcCmuL7KMTP+7HZ02sdGcIkLGWpoYxwyKUPdksWw8AM59o5+&#10;tBhZjo00I5653PZSJclSWuwcL7Q40EtL9dd+shqqTh3wZ1e+JXa1fYjvc/k5fbxqfXszP69BRJrj&#10;JQx/+IwOBTNVfnImiF5DqlZPHNXwqECwn6aKv1Wslwpkkcv/B4pfAAAA//8DAFBLAQItABQABgAI&#10;AAAAIQC2gziS/gAAAOEBAAATAAAAAAAAAAAAAAAAAAAAAABbQ29udGVudF9UeXBlc10ueG1sUEsB&#10;Ai0AFAAGAAgAAAAhADj9If/WAAAAlAEAAAsAAAAAAAAAAAAAAAAALwEAAF9yZWxzLy5yZWxzUEsB&#10;Ai0AFAAGAAgAAAAhAC9lBLoiAgAAPwQAAA4AAAAAAAAAAAAAAAAALgIAAGRycy9lMm9Eb2MueG1s&#10;UEsBAi0AFAAGAAgAAAAhANgYBtrdAAAACAEAAA8AAAAAAAAAAAAAAAAAfAQAAGRycy9kb3ducmV2&#10;LnhtbFBLBQYAAAAABAAEAPMAAACGBQAAAAA=&#10;"/>
            </w:pict>
          </mc:Fallback>
        </mc:AlternateContent>
      </w:r>
      <w:r>
        <w:rPr>
          <w:sz w:val="36"/>
          <w:szCs w:val="36"/>
        </w:rPr>
        <w:t>Prescribe Phosphate Sandoz 1 tablet twice daily</w:t>
      </w:r>
    </w:p>
    <w:p w:rsidR="00084993" w:rsidRDefault="00084993" w:rsidP="00084993">
      <w:pPr>
        <w:rPr>
          <w:sz w:val="28"/>
          <w:szCs w:val="28"/>
        </w:rPr>
      </w:pPr>
      <w:r>
        <w:rPr>
          <w:sz w:val="28"/>
          <w:szCs w:val="28"/>
        </w:rPr>
        <w:t>(If phosphate level low initially this may need to be increased)</w:t>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6848" behindDoc="0" locked="0" layoutInCell="1" allowOverlap="1">
                <wp:simplePos x="0" y="0"/>
                <wp:positionH relativeFrom="column">
                  <wp:posOffset>5267325</wp:posOffset>
                </wp:positionH>
                <wp:positionV relativeFrom="paragraph">
                  <wp:posOffset>256540</wp:posOffset>
                </wp:positionV>
                <wp:extent cx="333375" cy="266700"/>
                <wp:effectExtent l="7620" t="8890" r="11430" b="1016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175A" id="Rectangle 108" o:spid="_x0000_s1026" style="position:absolute;margin-left:414.75pt;margin-top:20.2pt;width:26.2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EUIgIAAD8EAAAOAAAAZHJzL2Uyb0RvYy54bWysU9uO0zAQfUfiHyy/06Sll92o6WrVpQhp&#10;gRULH+A6TmLheMzYbVq+fsdOt3SBJ4QfLI9nfHzmzMzy5tAZtlfoNdiSj0c5Z8pKqLRtSv7t6+bN&#10;FWc+CFsJA1aV/Kg8v1m9frXsXaEm0IKpFDICsb7oXcnbEFyRZV62qhN+BE5ZctaAnQhkYpNVKHpC&#10;70w2yfN51gNWDkEq7+n2bnDyVcKvayXD57r2KjBTcuIW0o5p38Y9Wy1F0aBwrZYnGuIfWHRCW/r0&#10;DHUngmA71H9AdVoieKjDSEKXQV1rqVIOlM04/y2bx1Y4lXIhcbw7y+T/H6z8tH9ApiuqXU6lsqKj&#10;In0h2YRtjGLxkiTqnS8o8tE9YEzSu3uQ3z2zsG4pTt0iQt8qURGxcYzPXjyIhqenbNt/hIrwxS5A&#10;UutQYxcBSQd2SEU5nouiDoFJunxLazHjTJJrMp8v8lS0TBTPjx368F5Bx+Kh5EjkE7jY3/sQyYji&#10;OSSRB6OrjTYmGdhs1wbZXlB/bNJK/CnHyzBjWV/y69lklpBf+PwlRJ7W3yA6HajRje5KfnUOEkVU&#10;7Z2tUhsGoc1wJsrGnmSMyg0V2EJ1JBURhi6mqaNDC/iTs546uOT+x06g4sx8sFSJ6/F0Gls+GdPZ&#10;YkIGXnq2lx5hJUGVPHA2HNdhGJOdQ9209NM45W7hlqpX66RsrOzA6kSWujQJfpqoOAaXdor6Nfer&#10;JwAAAP//AwBQSwMEFAAGAAgAAAAhALPgvtndAAAACQEAAA8AAABkcnMvZG93bnJldi54bWxMj8FO&#10;wzAQRO9I/IO1SNyoTQgoDXEqBCoSxza9cHPiJQnE6yh22sDXsz3BcTVPs2+KzeIGccQp9J403K4U&#10;CKTG255aDYdqe5OBCNGQNYMn1PCNATbl5UVhcutPtMPjPraCSyjkRkMX45hLGZoOnQkrPyJx9uEn&#10;ZyKfUyvtZE5c7gaZKPUgnemJP3RmxOcOm6/97DTUfXIwP7vqVbn19i6+LdXn/P6i9fXV8vQIIuIS&#10;/2A467M6lOxU+5lsEIOGLFnfM6ohVSkIBrIs4XH1OUlBloX8v6D8BQAA//8DAFBLAQItABQABgAI&#10;AAAAIQC2gziS/gAAAOEBAAATAAAAAAAAAAAAAAAAAAAAAABbQ29udGVudF9UeXBlc10ueG1sUEsB&#10;Ai0AFAAGAAgAAAAhADj9If/WAAAAlAEAAAsAAAAAAAAAAAAAAAAALwEAAF9yZWxzLy5yZWxzUEsB&#10;Ai0AFAAGAAgAAAAhALZpkRQiAgAAPwQAAA4AAAAAAAAAAAAAAAAALgIAAGRycy9lMm9Eb2MueG1s&#10;UEsBAi0AFAAGAAgAAAAhALPgvtndAAAACQEAAA8AAAAAAAAAAAAAAAAAfAQAAGRycy9kb3ducmV2&#10;LnhtbFBLBQYAAAAABAAEAPMAAACGBQAAAAA=&#10;"/>
            </w:pict>
          </mc:Fallback>
        </mc:AlternateContent>
      </w:r>
    </w:p>
    <w:p w:rsidR="00084993" w:rsidRDefault="00084993" w:rsidP="00084993">
      <w:pPr>
        <w:rPr>
          <w:sz w:val="36"/>
          <w:szCs w:val="36"/>
        </w:rPr>
      </w:pPr>
      <w:r>
        <w:rPr>
          <w:sz w:val="36"/>
          <w:szCs w:val="36"/>
        </w:rPr>
        <w:t>Inform dietician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3776" behindDoc="0" locked="0" layoutInCell="1" allowOverlap="1">
                <wp:simplePos x="0" y="0"/>
                <wp:positionH relativeFrom="column">
                  <wp:posOffset>5238750</wp:posOffset>
                </wp:positionH>
                <wp:positionV relativeFrom="paragraph">
                  <wp:posOffset>223520</wp:posOffset>
                </wp:positionV>
                <wp:extent cx="304800" cy="228600"/>
                <wp:effectExtent l="7620" t="12065" r="11430" b="698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E1BE" id="Rectangle 107" o:spid="_x0000_s1026" style="position:absolute;margin-left:412.5pt;margin-top:17.6pt;width:24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WHIQIAAD8EAAAOAAAAZHJzL2Uyb0RvYy54bWysU1Fv0zAQfkfiP1h+p0lDu3VR02nqKEIa&#10;MDH4Aa7jJBaOz5zdpuPX7+x0pQOeEH6w7nznz3ffd15eH3rD9gq9Blvx6STnTFkJtbZtxb993bxZ&#10;cOaDsLUwYFXFH5Xn16vXr5aDK1UBHZhaISMQ68vBVbwLwZVZ5mWneuEn4JSlYAPYi0AutlmNYiD0&#10;3mRFnl9kA2DtEKTynk5vxyBfJfymUTJ8bhqvAjMVp9pC2jHt27hnq6UoWxSu0/JYhviHKnqhLT16&#10;groVQbAd6j+gei0RPDRhIqHPoGm0VKkH6maa/9bNQyecSr0QOd6daPL/D1Z+2t8j0zVpl19yZkVP&#10;In0h2oRtjWLxkCganC8p88HdY2zSuzuQ3z2zsO4oT90gwtApUVNh05ifvbgQHU9X2Xb4CDXhi12A&#10;xNahwT4CEg/skER5PImiDoFJOnybzxY5SScpVBSLC7LjC6J8vuzQh/cKehaNiiMVn8DF/s6HMfU5&#10;JRUPRtcbbUxysN2uDbK9oPnYpHVE9+dpxrKh4lfzYp6QX8T8OUSe1t8geh1o0I3uK07t0IpJooys&#10;vbN1soPQZrSpO2OPNEbmRgW2UD8SiwjjFNOvI6MD/MnZQBNccf9jJ1BxZj5YUuJqOpvFkU/ObH5Z&#10;kIPnke15RFhJUBUPnI3mOozfZOdQtx29NE29W7gh9RqdmI3KjlUdi6UpTdocf1T8Bud+yvr171dP&#10;AAAA//8DAFBLAwQUAAYACAAAACEAiHBPtt8AAAAJAQAADwAAAGRycy9kb3ducmV2LnhtbEyPQU+D&#10;QBCF7yb+h82YeLNLIbVIWRqjqYnHll68DewIVHaWsEuL/nrXUz2+eS9vvpdvZ9OLM42us6xguYhA&#10;ENdWd9woOJa7hxSE88gae8uk4JscbIvbmxwzbS+8p/PBNyKUsMtQQev9kEnp6pYMuoUdiIP3aUeD&#10;PsixkXrESyg3vYyj6FEa7Dh8aHGgl5bqr8NkFFRdfMSfffkWmadd4t/n8jR9vCp1fzc/b0B4mv01&#10;DH/4AR2KwFTZibUTvYI0XoUtXkGyikGEQLpOwqFSsF7GIItc/l9Q/AIAAP//AwBQSwECLQAUAAYA&#10;CAAAACEAtoM4kv4AAADhAQAAEwAAAAAAAAAAAAAAAAAAAAAAW0NvbnRlbnRfVHlwZXNdLnhtbFBL&#10;AQItABQABgAIAAAAIQA4/SH/1gAAAJQBAAALAAAAAAAAAAAAAAAAAC8BAABfcmVscy8ucmVsc1BL&#10;AQItABQABgAIAAAAIQDmCYWHIQIAAD8EAAAOAAAAAAAAAAAAAAAAAC4CAABkcnMvZTJvRG9jLnht&#10;bFBLAQItABQABgAIAAAAIQCIcE+23wAAAAkBAAAPAAAAAAAAAAAAAAAAAHsEAABkcnMvZG93bnJl&#10;di54bWxQSwUGAAAAAAQABADzAAAAhwUAAAAA&#10;"/>
            </w:pict>
          </mc:Fallback>
        </mc:AlternateContent>
      </w:r>
      <w:r>
        <w:rPr>
          <w:sz w:val="36"/>
          <w:szCs w:val="36"/>
        </w:rPr>
        <w:t>Daily bloods -</w:t>
      </w:r>
      <w:r>
        <w:rPr>
          <w:sz w:val="36"/>
          <w:szCs w:val="36"/>
        </w:rPr>
        <w:tab/>
        <w:t>(U&amp;E, bone profile, magnesium)</w:t>
      </w:r>
    </w:p>
    <w:p w:rsidR="00084993" w:rsidRDefault="00084993" w:rsidP="00084993">
      <w:pPr>
        <w:ind w:left="1440" w:firstLine="720"/>
        <w:rPr>
          <w:sz w:val="36"/>
          <w:szCs w:val="36"/>
        </w:rPr>
      </w:pPr>
      <w:r>
        <w:rPr>
          <w:sz w:val="36"/>
          <w:szCs w:val="36"/>
        </w:rPr>
        <w:t>Day 1</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2752" behindDoc="0" locked="0" layoutInCell="1" allowOverlap="1">
                <wp:simplePos x="0" y="0"/>
                <wp:positionH relativeFrom="column">
                  <wp:posOffset>5238750</wp:posOffset>
                </wp:positionH>
                <wp:positionV relativeFrom="paragraph">
                  <wp:posOffset>17780</wp:posOffset>
                </wp:positionV>
                <wp:extent cx="304800" cy="200025"/>
                <wp:effectExtent l="7620" t="8255" r="11430"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5E53" id="Rectangle 106" o:spid="_x0000_s1026" style="position:absolute;margin-left:412.5pt;margin-top:1.4pt;width:24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m3HgIAAD8EAAAOAAAAZHJzL2Uyb0RvYy54bWysU9tuEzEQfUfiHyy/k92EpLSrbKoqJQip&#10;QEXhAyZeb9bCN8ZONuXrGXu3IVzEA8IPlsczPj5zZmZ5fTSaHSQG5WzNp5OSM2mFa5Td1fzzp82L&#10;S85CBNuAdlbW/FEGfr16/mzZ+0rOXOd0I5ERiA1V72vexeirogiikwbCxHlpydk6NBDJxF3RIPSE&#10;bnQxK8uLonfYeHRChkC3t4OTrzJ+20oRP7RtkJHpmhO3mHfM+zbtxWoJ1Q7Bd0qMNOAfWBhQlj49&#10;Qd1CBLZH9RuUUQJdcG2cCGcK17ZKyJwDZTMtf8nmoQMvcy4kTvAnmcL/gxXvD/fIVEO1Ky84s2Co&#10;SB9JNrA7LVm6JIl6HyqKfPD3mJIM/s6JL4FZt+4oTt4gur6T0BCxaYovfnqQjEBP2bZ/5xrCh310&#10;Wa1jiyYBkg7smIvyeCqKPEYm6PJlOb8sqXSCXFTxcrbIP0D19NhjiG+kMywdao5EPoPD4S7ERAaq&#10;p5BM3mnVbJTW2cDddq2RHYD6Y5PXiB7Ow7Rlfc2vFvT33yGIH60/QRgVqdG1MjWndMYgqJJqr22T&#10;2zCC0sOZKGs7ypiUGyqwdc0jqYhu6GKaOjp0Dr9x1lMH1zx83QNKzvRbS5W4ms7nqeWzMV+8mpGB&#10;557tuQesIKiaR86G4zoOY7L3qHYd/TTNuVt3Q9VrVVY2VXZgNZKlLs2CjxOVxuDczlE/5n71HQAA&#10;//8DAFBLAwQUAAYACAAAACEAXDaNZN0AAAAIAQAADwAAAGRycy9kb3ducmV2LnhtbEyPTU+DQBCG&#10;7yb+h82YeLOL4AciQ2M0NfHY0ou3BUZA2VnCLi366x1P9fjmnbzzPPl6sYM60OR7xwjXqwgUce2a&#10;nluEfbm5SkH5YLgxg2NC+CYP6+L8LDdZ4468pcMutEpG2GcGoQthzLT2dUfW+JUbiaX7cJM1QeLU&#10;6mYyRxm3g46j6E5b07N86MxIzx3VX7vZIlR9vDc/2/I1sg+bJLwt5ef8/oJ4ebE8PYIKtITTMfzh&#10;CzoUwlS5mRuvBoQ0vhWXgBCLgfTpfSK5QkhuEtBFrv8LFL8AAAD//wMAUEsBAi0AFAAGAAgAAAAh&#10;ALaDOJL+AAAA4QEAABMAAAAAAAAAAAAAAAAAAAAAAFtDb250ZW50X1R5cGVzXS54bWxQSwECLQAU&#10;AAYACAAAACEAOP0h/9YAAACUAQAACwAAAAAAAAAAAAAAAAAvAQAAX3JlbHMvLnJlbHNQSwECLQAU&#10;AAYACAAAACEAjeG5tx4CAAA/BAAADgAAAAAAAAAAAAAAAAAuAgAAZHJzL2Uyb0RvYy54bWxQSwEC&#10;LQAUAAYACAAAACEAXDaNZN0AAAAIAQAADwAAAAAAAAAAAAAAAAB4BAAAZHJzL2Rvd25yZXYueG1s&#10;UEsFBgAAAAAEAAQA8wAAAIIFAAAAAA==&#10;"/>
            </w:pict>
          </mc:Fallback>
        </mc:AlternateContent>
      </w:r>
      <w:r>
        <w:rPr>
          <w:sz w:val="36"/>
          <w:szCs w:val="36"/>
        </w:rPr>
        <w:tab/>
      </w:r>
      <w:r>
        <w:rPr>
          <w:sz w:val="36"/>
          <w:szCs w:val="36"/>
        </w:rPr>
        <w:tab/>
      </w:r>
      <w:r>
        <w:rPr>
          <w:sz w:val="36"/>
          <w:szCs w:val="36"/>
        </w:rPr>
        <w:tab/>
        <w:t xml:space="preserve">Day 2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1728" behindDoc="0" locked="0" layoutInCell="1" allowOverlap="1">
                <wp:simplePos x="0" y="0"/>
                <wp:positionH relativeFrom="column">
                  <wp:posOffset>5238750</wp:posOffset>
                </wp:positionH>
                <wp:positionV relativeFrom="paragraph">
                  <wp:posOffset>21590</wp:posOffset>
                </wp:positionV>
                <wp:extent cx="304800" cy="190500"/>
                <wp:effectExtent l="7620" t="8255" r="11430" b="1079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2FAB" id="Rectangle 105" o:spid="_x0000_s1026" style="position:absolute;margin-left:412.5pt;margin-top:1.7pt;width:24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50IAIAAD8EAAAOAAAAZHJzL2Uyb0RvYy54bWysU8GO0zAQvSPxD5bvNElpYRs1Xa26FCEt&#10;sGLhA1zHSSwcjxm7TcvX79jpli5wQvhgzXjGzzPvjZfXh96wvUKvwVa8mOScKSuh1rat+Levm1dX&#10;nPkgbC0MWFXxo/L8evXyxXJwpZpCB6ZWyAjE+nJwFe9CcGWWedmpXvgJOGUp2AD2IpCLbVajGAi9&#10;N9k0z99kA2DtEKTynk5vxyBfJfymUTJ8bhqvAjMVp9pC2jHt27hnq6UoWxSu0/JUhviHKnqhLT16&#10;hroVQbAd6j+gei0RPDRhIqHPoGm0VKkH6qbIf+vmoRNOpV6IHO/ONPn/Bys/7e+R6Zq0y+ecWdGT&#10;SF+INmFbo1g8JIoG50vKfHD3GJv07g7kd88srDvKUzeIMHRK1FRYEfOzZxei4+kq2w4foSZ8sQuQ&#10;2Do02EdA4oEdkijHsyjqEJikw9f57Con6SSFikU+Jzu+IMqnyw59eK+gZ9GoOFLxCVzs73wYU59S&#10;UvFgdL3RxiQH2+3aINsLmo9NWid0f5lmLBsqvphP5wn5WcxfQuRp/Q2i14EG3ei+4tQOrZgkysja&#10;O1snOwhtRpu6M/ZEY2RuVGAL9ZFYRBinmH4dGR3gT84GmuCK+x87gYoz88GSEotiNosjn5zZ/O2U&#10;HLyMbC8jwkqCqnjgbDTXYfwmO4e67eilIvVu4YbUa3RiNio7VnUqlqY0aXP6UfEbXPop69e/Xz0C&#10;AAD//wMAUEsDBBQABgAIAAAAIQAi5fcH3AAAAAgBAAAPAAAAZHJzL2Rvd25yZXYueG1sTI/NToRA&#10;EITvJr7DpE28uYPgDyLDxmjWxOMue/HWQAso00OYYRd9etvTevy6KtVV+XqxgzrQ5HvHBq5XESji&#10;2jU9twb25eYqBeUDcoODYzLwTR7WxflZjlnjjrylwy60SkLYZ2igC2HMtPZ1Rxb9yo3Eon24yWIQ&#10;nFrdTHiUcDvoOIrutMWe5UOHIz13VH/tZmug6uM9/mzL18g+bJLwtpSf8/uLMZcXy9MjqEBLOJnh&#10;r75Uh0I6VW7mxqvBQBrfypZgILkBJXp6nwhXwnLQRa7/Dyh+AQAA//8DAFBLAQItABQABgAIAAAA&#10;IQC2gziS/gAAAOEBAAATAAAAAAAAAAAAAAAAAAAAAABbQ29udGVudF9UeXBlc10ueG1sUEsBAi0A&#10;FAAGAAgAAAAhADj9If/WAAAAlAEAAAsAAAAAAAAAAAAAAAAALwEAAF9yZWxzLy5yZWxzUEsBAi0A&#10;FAAGAAgAAAAhAF+5XnQgAgAAPwQAAA4AAAAAAAAAAAAAAAAALgIAAGRycy9lMm9Eb2MueG1sUEsB&#10;Ai0AFAAGAAgAAAAhACLl9wfcAAAACAEAAA8AAAAAAAAAAAAAAAAAegQAAGRycy9kb3ducmV2Lnht&#10;bFBLBQYAAAAABAAEAPMAAACDBQAAAAA=&#10;"/>
            </w:pict>
          </mc:Fallback>
        </mc:AlternateContent>
      </w:r>
      <w:r>
        <w:rPr>
          <w:sz w:val="36"/>
          <w:szCs w:val="36"/>
        </w:rPr>
        <w:tab/>
      </w:r>
      <w:r>
        <w:rPr>
          <w:sz w:val="36"/>
          <w:szCs w:val="36"/>
        </w:rPr>
        <w:tab/>
      </w:r>
      <w:r>
        <w:rPr>
          <w:sz w:val="36"/>
          <w:szCs w:val="36"/>
        </w:rPr>
        <w:tab/>
        <w:t>Day 3</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0704" behindDoc="0" locked="0" layoutInCell="1" allowOverlap="1">
                <wp:simplePos x="0" y="0"/>
                <wp:positionH relativeFrom="column">
                  <wp:posOffset>5238750</wp:posOffset>
                </wp:positionH>
                <wp:positionV relativeFrom="paragraph">
                  <wp:posOffset>15875</wp:posOffset>
                </wp:positionV>
                <wp:extent cx="304800" cy="200025"/>
                <wp:effectExtent l="7620" t="8255" r="11430" b="1079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7D2E" id="Rectangle 104" o:spid="_x0000_s1026" style="position:absolute;margin-left:412.5pt;margin-top:1.25pt;width:24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wIAAD8EAAAOAAAAZHJzL2Uyb0RvYy54bWysU9tuEzEQfUfiHyy/k92EBNpVNlWVEoRU&#10;oKLwAY7Xm7WwPWbsZFO+vmPvNoSLeED4wfJ4xsdnzswsr47WsIPCoMHVfDopOVNOQqPdruZfPm9e&#10;XHAWonCNMOBUzR9U4Fer58+Wva/UDDowjUJGIC5Uva95F6OviiLITlkRJuCVI2cLaEUkE3dFg6In&#10;dGuKWVm+KnrAxiNIFQLd3gxOvsr4batk/Ni2QUVmak7cYt4x79u0F6ulqHYofKflSEP8AwsrtKNP&#10;T1A3Igq2R/0blNUSIUAbJxJsAW2rpco5UDbT8pds7jvhVc6FxAn+JFP4f7Dyw+EOmW6oduWcMycs&#10;FekTySbcziiWLkmi3oeKIu/9HaYkg78F+TUwB+uO4tQ1IvSdEg0Rm6b44qcHyQj0lG3799AQvthH&#10;yGodW7QJkHRgx1yUh1NR1DEySZcvy/lFSaWT5KKKl7NF/kFUT489hvhWgWXpUHMk8hlcHG5DTGRE&#10;9RSSyYPRzUYbkw3cbdcG2UFQf2zyGtHDeZhxrK/55YL+/jsE8aP1JwirIzW60bbmlM4YJKqk2hvX&#10;5DaMQpvhTJSNG2VMyg0V2ELzQCoiDF1MU0eHDvA7Zz11cM3Dt71AxZl556gSl9P5PLV8NuaL1zMy&#10;8NyzPfcIJwmq5pGz4biOw5jsPepdRz9Nc+4Orql6rc7KpsoOrEay1KVZ8HGi0hic2znqx9yvHgEA&#10;AP//AwBQSwMEFAAGAAgAAAAhANmNWxrdAAAACAEAAA8AAABkcnMvZG93bnJldi54bWxMj0FPhDAU&#10;hO8m/ofmmXhzW8FVRB4bo1kTj7vsxVuhFVD6SmjZRX+9z5MeJzOZ+abYLG4QRzuF3hPC9UqBsNR4&#10;01OLcKi2VxmIEDUZPXiyCF82wKY8Pyt0bvyJdva4j63gEgq5RuhiHHMpQ9NZp8PKj5bYe/eT05Hl&#10;1Eoz6ROXu0EmSt1Kp3vihU6P9qmzzed+dgh1nxz09656Ue5+m8bXpfqY354RLy+WxwcQ0S7xLwy/&#10;+IwOJTPVfiYTxICQJWv+EhGSNQj2s7uUdY2Q3iiQZSH/Hyh/AAAA//8DAFBLAQItABQABgAIAAAA&#10;IQC2gziS/gAAAOEBAAATAAAAAAAAAAAAAAAAAAAAAABbQ29udGVudF9UeXBlc10ueG1sUEsBAi0A&#10;FAAGAAgAAAAhADj9If/WAAAAlAEAAAsAAAAAAAAAAAAAAAAALwEAAF9yZWxzLy5yZWxzUEsBAi0A&#10;FAAGAAgAAAAhAP7+4jEfAgAAPwQAAA4AAAAAAAAAAAAAAAAALgIAAGRycy9lMm9Eb2MueG1sUEsB&#10;Ai0AFAAGAAgAAAAhANmNWxrdAAAACAEAAA8AAAAAAAAAAAAAAAAAeQQAAGRycy9kb3ducmV2Lnht&#10;bFBLBQYAAAAABAAEAPMAAACDBQAAAAA=&#10;"/>
            </w:pict>
          </mc:Fallback>
        </mc:AlternateContent>
      </w:r>
      <w:r>
        <w:rPr>
          <w:sz w:val="36"/>
          <w:szCs w:val="36"/>
        </w:rPr>
        <w:tab/>
      </w:r>
      <w:r>
        <w:rPr>
          <w:sz w:val="36"/>
          <w:szCs w:val="36"/>
        </w:rPr>
        <w:tab/>
      </w:r>
      <w:r>
        <w:rPr>
          <w:sz w:val="36"/>
          <w:szCs w:val="36"/>
        </w:rPr>
        <w:tab/>
        <w:t>Day 4</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19680" behindDoc="0" locked="0" layoutInCell="1" allowOverlap="1">
                <wp:simplePos x="0" y="0"/>
                <wp:positionH relativeFrom="column">
                  <wp:posOffset>5238750</wp:posOffset>
                </wp:positionH>
                <wp:positionV relativeFrom="paragraph">
                  <wp:posOffset>29210</wp:posOffset>
                </wp:positionV>
                <wp:extent cx="304800" cy="180975"/>
                <wp:effectExtent l="7620" t="8255" r="11430" b="1079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84A2A" id="Rectangle 103" o:spid="_x0000_s1026" style="position:absolute;margin-left:412.5pt;margin-top:2.3pt;width:24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LIw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xXVLr/izEBH&#10;RfpCsoFptGTxkiTqnS8o8tE9YEzSu3srvntm7LqlOHmLaPtWQkXExjE+e/EgGp6esm3/0VaED7tg&#10;k1qHGrsISDqwQyrK8VwUeQhM0OVVPp3nVDpBrvE8X1zP0g9QPD926MN7aTsWDyVHIp/AYX/vQyQD&#10;xXNIIm+1qjZK62Rgs11rZHug/tikdUL3l2HasL7ki9lklpBf+PwlRJ7W3yA6FajRtepKTunQikFQ&#10;RNXemSqdAyg9nImyNicZo3JDBba2OpKKaIcupqmjQ2vxJ2c9dXDJ/Y8doORMfzBUicV4Oo0tn4zp&#10;7HpCBl56tpceMIKgSh44G47rMIzJzqFqWvppnHI39paqV6ukbKzswOpElro0CX6aqDgGl3aK+jX3&#10;qycAAAD//wMAUEsDBBQABgAIAAAAIQAsrt/83gAAAAgBAAAPAAAAZHJzL2Rvd25yZXYueG1sTI9B&#10;T4NAFITvJv6HzTPxZpeCVqQ8GqOpiceWXrwt7BZQ9i1hlxb99T5P9TiZycw3+Wa2vTiZ0XeOEJaL&#10;CISh2umOGoRDub1LQfigSKvekUH4Nh42xfVVrjLtzrQzp31oBJeQzxRCG8KQSenr1ljlF24wxN7R&#10;jVYFlmMj9ajOXG57GUfRSlrVES+0ajAvram/9pNFqLr4oH525Vtkn7ZJeJ/Lz+njFfH2Zn5egwhm&#10;Dpcw/OEzOhTMVLmJtBc9Qho/8JeAcL8CwX76mLCuEJJkCbLI5f8DxS8AAAD//wMAUEsBAi0AFAAG&#10;AAgAAAAhALaDOJL+AAAA4QEAABMAAAAAAAAAAAAAAAAAAAAAAFtDb250ZW50X1R5cGVzXS54bWxQ&#10;SwECLQAUAAYACAAAACEAOP0h/9YAAACUAQAACwAAAAAAAAAAAAAAAAAvAQAAX3JlbHMvLnJlbHNQ&#10;SwECLQAUAAYACAAAACEA4MgJyyMCAAA/BAAADgAAAAAAAAAAAAAAAAAuAgAAZHJzL2Uyb0RvYy54&#10;bWxQSwECLQAUAAYACAAAACEALK7f/N4AAAAIAQAADwAAAAAAAAAAAAAAAAB9BAAAZHJzL2Rvd25y&#10;ZXYueG1sUEsFBgAAAAAEAAQA8wAAAIgFAAAAAA==&#10;"/>
            </w:pict>
          </mc:Fallback>
        </mc:AlternateContent>
      </w:r>
      <w:r>
        <w:rPr>
          <w:sz w:val="36"/>
          <w:szCs w:val="36"/>
        </w:rPr>
        <w:tab/>
      </w:r>
      <w:r>
        <w:rPr>
          <w:sz w:val="36"/>
          <w:szCs w:val="36"/>
        </w:rPr>
        <w:tab/>
      </w:r>
      <w:r>
        <w:rPr>
          <w:sz w:val="36"/>
          <w:szCs w:val="36"/>
        </w:rPr>
        <w:tab/>
        <w:t>Day 5</w:t>
      </w:r>
      <w:r>
        <w:rPr>
          <w:sz w:val="36"/>
          <w:szCs w:val="36"/>
        </w:rPr>
        <w:tab/>
      </w: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5824" behindDoc="0" locked="0" layoutInCell="1" allowOverlap="1">
                <wp:simplePos x="0" y="0"/>
                <wp:positionH relativeFrom="column">
                  <wp:posOffset>5238750</wp:posOffset>
                </wp:positionH>
                <wp:positionV relativeFrom="paragraph">
                  <wp:posOffset>41910</wp:posOffset>
                </wp:positionV>
                <wp:extent cx="304800" cy="180975"/>
                <wp:effectExtent l="7620" t="7620" r="11430" b="1143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24366" id="Rectangle 102" o:spid="_x0000_s1026" style="position:absolute;margin-left:412.5pt;margin-top:3.3pt;width:24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xlIg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8ilnVvRU&#10;pM8km7CtUSxekkSD8yVFPrh7jEl6dwfym2cWNh3FqRtEGDolaiJWxPjs2YNoeHrKdsMHqAlf7AMk&#10;tY4N9hGQdGDHVJTHc1HUMTBJl6/z2SKn0klyFYt8eTVPP4jy6bFDH94p6Fk8VByJfAIXhzsfIhlR&#10;PoUk8mB0vdXGJAPb3cYgOwjqj21aJ3R/GWYsGyq+nE/nCfmZz19C5Gn9DaLXgRrd6L7ilA6tGCTK&#10;qNpbW6dzENqMZ6Js7EnGqNxYgR3Uj6QiwtjFNHV06AB/cDZQB1fcf98LVJyZ95YqsSxms9jyyZjN&#10;r6Zk4KVnd+kRVhJUxQNn43ETxjHZO9RtRz8VKXcLN1S9RidlY2VHViey1KVJ8NNExTG4tFPUr7lf&#10;/wQAAP//AwBQSwMEFAAGAAgAAAAhAIYbbaLdAAAACAEAAA8AAABkcnMvZG93bnJldi54bWxMj0FP&#10;g0AUhO8m/ofNM/Fml0KKiDwao6mJx5ZevD3YFVB2l7BLi/56nyd7nMxk5ptiu5hBnPTke2cR1qsI&#10;hLaNU71tEY7V7i4D4QNZRYOzGuFbe9iW11cF5cqd7V6fDqEVXGJ9TghdCGMupW86bciv3Kgtex9u&#10;MhRYTq1UE5253AwyjqJUGuotL3Q06udON1+H2SDUfXykn331GpmHXRLelupzfn9BvL1Znh5BBL2E&#10;/zD84TM6lMxUu9kqLwaELN7wl4CQpiDYz+4T1jVCslmDLAt5eaD8BQAA//8DAFBLAQItABQABgAI&#10;AAAAIQC2gziS/gAAAOEBAAATAAAAAAAAAAAAAAAAAAAAAABbQ29udGVudF9UeXBlc10ueG1sUEsB&#10;Ai0AFAAGAAgAAAAhADj9If/WAAAAlAEAAAsAAAAAAAAAAAAAAAAALwEAAF9yZWxzLy5yZWxzUEsB&#10;Ai0AFAAGAAgAAAAhAHnEnGUiAgAAPwQAAA4AAAAAAAAAAAAAAAAALgIAAGRycy9lMm9Eb2MueG1s&#10;UEsBAi0AFAAGAAgAAAAhAIYbbaLdAAAACAEAAA8AAAAAAAAAAAAAAAAAfAQAAGRycy9kb3ducmV2&#10;LnhtbFBLBQYAAAAABAAEAPMAAACGBQAAAAA=&#10;"/>
            </w:pict>
          </mc:Fallback>
        </mc:AlternateContent>
      </w:r>
      <w:r>
        <w:rPr>
          <w:sz w:val="36"/>
          <w:szCs w:val="36"/>
        </w:rPr>
        <w:tab/>
      </w:r>
      <w:r>
        <w:rPr>
          <w:sz w:val="36"/>
          <w:szCs w:val="36"/>
        </w:rPr>
        <w:tab/>
      </w:r>
      <w:r>
        <w:rPr>
          <w:sz w:val="36"/>
          <w:szCs w:val="36"/>
        </w:rPr>
        <w:tab/>
        <w:t xml:space="preserve">Day 10-12 </w:t>
      </w:r>
      <w:r>
        <w:rPr>
          <w:sz w:val="28"/>
          <w:szCs w:val="28"/>
        </w:rPr>
        <w:t>(if still an inpatient)</w:t>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084993" w:rsidRDefault="00084993" w:rsidP="00084993">
      <w:pPr>
        <w:rPr>
          <w:sz w:val="36"/>
          <w:szCs w:val="36"/>
        </w:rPr>
      </w:pPr>
    </w:p>
    <w:p w:rsidR="00084993" w:rsidRDefault="00084993" w:rsidP="00084993">
      <w:pPr>
        <w:rPr>
          <w:sz w:val="36"/>
          <w:szCs w:val="36"/>
        </w:rPr>
      </w:pPr>
      <w:r w:rsidRPr="007E3A51">
        <w:rPr>
          <w:noProof/>
          <w:szCs w:val="24"/>
        </w:rPr>
        <mc:AlternateContent>
          <mc:Choice Requires="wps">
            <w:drawing>
              <wp:anchor distT="0" distB="0" distL="114300" distR="114300" simplePos="0" relativeHeight="251724800" behindDoc="0" locked="0" layoutInCell="1" allowOverlap="1">
                <wp:simplePos x="0" y="0"/>
                <wp:positionH relativeFrom="column">
                  <wp:posOffset>5238750</wp:posOffset>
                </wp:positionH>
                <wp:positionV relativeFrom="paragraph">
                  <wp:posOffset>46355</wp:posOffset>
                </wp:positionV>
                <wp:extent cx="333375" cy="266700"/>
                <wp:effectExtent l="7620" t="10160" r="11430" b="889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EF6BC" id="Rectangle 101" o:spid="_x0000_s1026" style="position:absolute;margin-left:412.5pt;margin-top:3.65pt;width:26.2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OIQIAAD8EAAAOAAAAZHJzL2Uyb0RvYy54bWysU1Fv0zAQfkfiP1h+p0lL221R02nqKEIa&#10;MDH4Aa7jJBa2z5zdpuXX7+K0pQOeEH6wfL7z5+++u1vc7q1hO4VBgyv5eJRzppyESrum5N++rt9c&#10;cxaicJUw4FTJDyrw2+XrV4vOF2oCLZhKISMQF4rOl7yN0RdZFmSrrAgj8MqRswa0IpKJTVah6Ajd&#10;mmyS5/OsA6w8glQh0O394OTLhF/XSsbPdR1UZKbkxC2mHdO+6fdsuRBFg8K3Wh5piH9gYYV29OkZ&#10;6l5Ewbao/4CyWiIEqONIgs2grrVUKQfKZpz/ls1TK7xKuZA4wZ9lCv8PVn7aPSLTFdUuH3PmhKUi&#10;fSHZhGuMYv0lSdT5UFDkk3/EPsngH0B+D8zBqqU4dYcIXatERcRSfPbiQW8Eeso23UeoCF9sIyS1&#10;9jXaHpB0YPtUlMO5KGofmaTLt7SuZpxJck3m86s8FS0TxemxxxDfK7CsP5QciXwCF7uHEIk8hZ5C&#10;EnkwulprY5KBzWZlkO0E9cc6rT5fehIuw4xjXclvZpNZQn7hC5cQeVp/g7A6UqMbbUt+fQ4SRa/a&#10;O1elNoxCm+FM/xtHNE7KDRXYQHUgFRGGLqapo0ML+JOzjjq45OHHVqDizHxwVImb8XTat3wyprOr&#10;CRl46dlceoSTBFXyyNlwXMVhTLYeddPST+OUu4M7ql6tk7I9v4HVkSx1aVLvOFH9GFzaKerX3C+f&#10;AQAA//8DAFBLAwQUAAYACAAAACEAqbnCSN4AAAAIAQAADwAAAGRycy9kb3ducmV2LnhtbEyPQU+D&#10;QBSE7yb+h80z8WYXwQpFHo3R1MRjSy/eFvYJKPuWsEuL/nrXkx4nM5n5ptguZhAnmlxvGeF2FYEg&#10;bqzuuUU4VrubDITzirUaLBPCFznYlpcXhcq1PfOeTgffilDCLlcInfdjLqVrOjLKrexIHLx3Oxnl&#10;g5xaqSd1DuVmkHEU3Uujeg4LnRrpqaPm8zAbhLqPj+p7X71EZrNL/OtSfcxvz4jXV8vjAwhPi/8L&#10;wy9+QIcyMNV2Zu3EgJDF6/DFI6QJiOBnaboGUSPcbRKQZSH/Hyh/AAAA//8DAFBLAQItABQABgAI&#10;AAAAIQC2gziS/gAAAOEBAAATAAAAAAAAAAAAAAAAAAAAAABbQ29udGVudF9UeXBlc10ueG1sUEsB&#10;Ai0AFAAGAAgAAAAhADj9If/WAAAAlAEAAAsAAAAAAAAAAAAAAAAALwEAAF9yZWxzLy5yZWxzUEsB&#10;Ai0AFAAGAAgAAAAhACAS+84hAgAAPwQAAA4AAAAAAAAAAAAAAAAALgIAAGRycy9lMm9Eb2MueG1s&#10;UEsBAi0AFAAGAAgAAAAhAKm5wkjeAAAACAEAAA8AAAAAAAAAAAAAAAAAewQAAGRycy9kb3ducmV2&#10;LnhtbFBLBQYAAAAABAAEAPMAAACGBQAAAAA=&#10;"/>
            </w:pict>
          </mc:Fallback>
        </mc:AlternateContent>
      </w:r>
      <w:r>
        <w:rPr>
          <w:sz w:val="36"/>
          <w:szCs w:val="36"/>
        </w:rPr>
        <w:t xml:space="preserve">Lying/standing blood pressure, at least daily </w:t>
      </w:r>
    </w:p>
    <w:p w:rsidR="00084993" w:rsidRDefault="00084993" w:rsidP="00084993">
      <w:pPr>
        <w:rPr>
          <w:sz w:val="36"/>
          <w:szCs w:val="36"/>
        </w:rPr>
      </w:pPr>
      <w:r>
        <w:rPr>
          <w:sz w:val="36"/>
          <w:szCs w:val="36"/>
        </w:rPr>
        <w:t>(In addition to routine observations)</w:t>
      </w:r>
    </w:p>
    <w:p w:rsidR="00084993" w:rsidRDefault="00084993" w:rsidP="00084993">
      <w:pPr>
        <w:rPr>
          <w:b/>
          <w:szCs w:val="24"/>
        </w:rPr>
      </w:pPr>
    </w:p>
    <w:p w:rsidR="00084993" w:rsidRDefault="00084993" w:rsidP="00084993">
      <w:pPr>
        <w:jc w:val="center"/>
        <w:rPr>
          <w:b/>
          <w:szCs w:val="24"/>
        </w:rPr>
        <w:sectPr w:rsidR="00084993" w:rsidSect="00957E61">
          <w:pgSz w:w="11906" w:h="16838"/>
          <w:pgMar w:top="1440" w:right="1797" w:bottom="1440" w:left="1797" w:header="709" w:footer="709" w:gutter="0"/>
          <w:cols w:space="708"/>
          <w:docGrid w:linePitch="360"/>
        </w:sectPr>
      </w:pPr>
      <w:r>
        <w:rPr>
          <w:b/>
          <w:szCs w:val="24"/>
        </w:rPr>
        <w:br w:type="page"/>
      </w:r>
      <w:r w:rsidRPr="009723D4">
        <w:rPr>
          <w:b/>
          <w:noProof/>
          <w:szCs w:val="24"/>
        </w:rPr>
        <w:lastRenderedPageBreak/>
        <w:drawing>
          <wp:inline distT="0" distB="0" distL="0" distR="0">
            <wp:extent cx="6667500" cy="437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371975"/>
                    </a:xfrm>
                    <a:prstGeom prst="rect">
                      <a:avLst/>
                    </a:prstGeom>
                    <a:noFill/>
                    <a:ln>
                      <a:noFill/>
                    </a:ln>
                  </pic:spPr>
                </pic:pic>
              </a:graphicData>
            </a:graphic>
          </wp:inline>
        </w:drawing>
      </w:r>
    </w:p>
    <w:p w:rsidR="00084993" w:rsidRPr="002467B8" w:rsidRDefault="00084993" w:rsidP="00084993">
      <w:pPr>
        <w:rPr>
          <w:b/>
          <w:szCs w:val="24"/>
        </w:rPr>
      </w:pPr>
      <w:r w:rsidRPr="002467B8">
        <w:rPr>
          <w:b/>
          <w:szCs w:val="24"/>
        </w:rPr>
        <w:lastRenderedPageBreak/>
        <w:t>The Junior MARSIPAN report provides a framework for the medical assessment of risk;</w:t>
      </w:r>
    </w:p>
    <w:p w:rsidR="00084993" w:rsidRDefault="00084993" w:rsidP="00084993">
      <w:pPr>
        <w:rPr>
          <w:szCs w:val="24"/>
        </w:rPr>
      </w:pPr>
      <w:r>
        <w:rPr>
          <w:rFonts w:ascii="Verdana" w:hAnsi="Verdana" w:cs="Verdana"/>
          <w:color w:val="000000"/>
          <w:sz w:val="16"/>
          <w:szCs w:val="16"/>
        </w:rPr>
        <w:t>Risk assessment framework for young people with eating disorders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1962"/>
        <w:gridCol w:w="1962"/>
        <w:gridCol w:w="1847"/>
        <w:gridCol w:w="1847"/>
      </w:tblGrid>
      <w:tr w:rsidR="00084993" w:rsidRPr="00283AD9" w:rsidTr="00E20040">
        <w:trPr>
          <w:trHeight w:val="150"/>
        </w:trPr>
        <w:tc>
          <w:tcPr>
            <w:tcW w:w="1850" w:type="dxa"/>
          </w:tcPr>
          <w:p w:rsidR="00084993" w:rsidRPr="00283AD9" w:rsidRDefault="00084993" w:rsidP="00E20040">
            <w:pPr>
              <w:rPr>
                <w:szCs w:val="24"/>
              </w:rPr>
            </w:pPr>
          </w:p>
        </w:tc>
        <w:tc>
          <w:tcPr>
            <w:tcW w:w="1962" w:type="dxa"/>
          </w:tcPr>
          <w:p w:rsidR="00084993" w:rsidRPr="00283AD9" w:rsidRDefault="00084993" w:rsidP="00E20040">
            <w:pPr>
              <w:rPr>
                <w:szCs w:val="24"/>
              </w:rPr>
            </w:pPr>
            <w:r w:rsidRPr="00283AD9">
              <w:rPr>
                <w:szCs w:val="24"/>
              </w:rPr>
              <w:t>Red</w:t>
            </w:r>
          </w:p>
        </w:tc>
        <w:tc>
          <w:tcPr>
            <w:tcW w:w="1962" w:type="dxa"/>
          </w:tcPr>
          <w:p w:rsidR="00084993" w:rsidRPr="00283AD9" w:rsidRDefault="00084993" w:rsidP="00E20040">
            <w:pPr>
              <w:rPr>
                <w:szCs w:val="24"/>
              </w:rPr>
            </w:pPr>
            <w:r w:rsidRPr="00283AD9">
              <w:rPr>
                <w:szCs w:val="24"/>
              </w:rPr>
              <w:t>Amber</w:t>
            </w:r>
          </w:p>
        </w:tc>
        <w:tc>
          <w:tcPr>
            <w:tcW w:w="1847" w:type="dxa"/>
          </w:tcPr>
          <w:p w:rsidR="00084993" w:rsidRPr="00283AD9" w:rsidRDefault="00084993" w:rsidP="00E20040">
            <w:pPr>
              <w:rPr>
                <w:szCs w:val="24"/>
              </w:rPr>
            </w:pPr>
            <w:r w:rsidRPr="00283AD9">
              <w:rPr>
                <w:szCs w:val="24"/>
              </w:rPr>
              <w:t>Green</w:t>
            </w:r>
          </w:p>
        </w:tc>
        <w:tc>
          <w:tcPr>
            <w:tcW w:w="1847" w:type="dxa"/>
          </w:tcPr>
          <w:p w:rsidR="00084993" w:rsidRPr="00283AD9" w:rsidRDefault="00084993" w:rsidP="00E20040">
            <w:pPr>
              <w:rPr>
                <w:szCs w:val="24"/>
              </w:rPr>
            </w:pPr>
            <w:r w:rsidRPr="00283AD9">
              <w:rPr>
                <w:szCs w:val="24"/>
              </w:rPr>
              <w:t>Blue</w:t>
            </w:r>
          </w:p>
        </w:tc>
      </w:tr>
      <w:tr w:rsidR="00084993" w:rsidRPr="00283AD9" w:rsidTr="00E20040">
        <w:trPr>
          <w:trHeight w:val="150"/>
        </w:trPr>
        <w:tc>
          <w:tcPr>
            <w:tcW w:w="1850" w:type="dxa"/>
          </w:tcPr>
          <w:p w:rsidR="00084993" w:rsidRPr="00283AD9" w:rsidRDefault="00084993" w:rsidP="00E20040">
            <w:pPr>
              <w:rPr>
                <w:szCs w:val="24"/>
              </w:rPr>
            </w:pPr>
            <w:r w:rsidRPr="00283AD9">
              <w:rPr>
                <w:szCs w:val="24"/>
              </w:rPr>
              <w:t>BMI &amp; weight</w:t>
            </w:r>
          </w:p>
        </w:tc>
        <w:tc>
          <w:tcPr>
            <w:tcW w:w="1962"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Percentage median</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 xml:space="preserve">BMI&lt;70% (approx. </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below 0.4th BMI centile)</w:t>
            </w:r>
          </w:p>
          <w:p w:rsidR="00084993" w:rsidRPr="00283AD9" w:rsidRDefault="00084993" w:rsidP="00E20040">
            <w:pPr>
              <w:rPr>
                <w:szCs w:val="24"/>
              </w:rPr>
            </w:pPr>
          </w:p>
          <w:p w:rsidR="00084993" w:rsidRPr="00283AD9" w:rsidRDefault="00084993" w:rsidP="00E20040">
            <w:pPr>
              <w:rPr>
                <w:szCs w:val="24"/>
              </w:rPr>
            </w:pPr>
            <w:r w:rsidRPr="00283AD9">
              <w:rPr>
                <w:rFonts w:ascii="Verdana" w:hAnsi="Verdana" w:cs="Verdana"/>
                <w:color w:val="000000"/>
                <w:sz w:val="16"/>
                <w:szCs w:val="16"/>
              </w:rPr>
              <w:t>Recent loss of weight of 1 kg or more/week for 2 consecutive weeks</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Percentage</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median BMI 70–80% (approx. between 2nd and</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0.4th BMI centile)</w:t>
            </w:r>
          </w:p>
          <w:p w:rsidR="00084993" w:rsidRPr="00283AD9" w:rsidRDefault="00084993" w:rsidP="00E20040">
            <w:pPr>
              <w:rPr>
                <w:rFonts w:ascii="Verdana" w:hAnsi="Verdana" w:cs="Verdana"/>
                <w:color w:val="000000"/>
                <w:sz w:val="16"/>
                <w:szCs w:val="16"/>
              </w:rPr>
            </w:pPr>
          </w:p>
          <w:p w:rsidR="00084993" w:rsidRPr="00283AD9" w:rsidRDefault="00084993" w:rsidP="00E20040">
            <w:pPr>
              <w:rPr>
                <w:szCs w:val="24"/>
              </w:rPr>
            </w:pPr>
            <w:r w:rsidRPr="00283AD9">
              <w:rPr>
                <w:rFonts w:ascii="Verdana" w:hAnsi="Verdana" w:cs="Verdana"/>
                <w:color w:val="000000"/>
                <w:sz w:val="16"/>
                <w:szCs w:val="16"/>
              </w:rPr>
              <w:t>Recent loss of weight of 500– 999 g/week for 2 consecutive weeks</w:t>
            </w: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Percentage median BMI 80–85% (approx.</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9th–2nd BMI centile)</w:t>
            </w:r>
          </w:p>
          <w:p w:rsidR="00084993" w:rsidRPr="00283AD9" w:rsidRDefault="00084993" w:rsidP="00E20040">
            <w:pPr>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Recent weight loss of up to</w:t>
            </w:r>
          </w:p>
          <w:p w:rsidR="00084993" w:rsidRPr="00283AD9" w:rsidRDefault="00084993" w:rsidP="00E20040">
            <w:pPr>
              <w:rPr>
                <w:szCs w:val="24"/>
              </w:rPr>
            </w:pPr>
            <w:r w:rsidRPr="00283AD9">
              <w:rPr>
                <w:rFonts w:ascii="Verdana" w:hAnsi="Verdana" w:cs="Verdana"/>
                <w:color w:val="000000"/>
                <w:sz w:val="16"/>
                <w:szCs w:val="16"/>
              </w:rPr>
              <w:t>500 g/week for 2 consecutive weeks</w:t>
            </w:r>
          </w:p>
        </w:tc>
        <w:tc>
          <w:tcPr>
            <w:tcW w:w="1847"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Percentage median BMI&gt;85% (approx. above 9th BMI centile)</w:t>
            </w:r>
          </w:p>
          <w:p w:rsidR="00084993" w:rsidRPr="00283AD9" w:rsidRDefault="00084993" w:rsidP="00E20040">
            <w:pPr>
              <w:rPr>
                <w:szCs w:val="24"/>
              </w:rPr>
            </w:pPr>
          </w:p>
          <w:p w:rsidR="00084993" w:rsidRPr="00283AD9" w:rsidRDefault="00084993" w:rsidP="00E20040">
            <w:pPr>
              <w:rPr>
                <w:szCs w:val="24"/>
              </w:rPr>
            </w:pPr>
            <w:r w:rsidRPr="00283AD9">
              <w:rPr>
                <w:rFonts w:ascii="Verdana" w:hAnsi="Verdana" w:cs="Verdana"/>
                <w:color w:val="000000"/>
                <w:sz w:val="16"/>
                <w:szCs w:val="16"/>
              </w:rPr>
              <w:t>No weight loss over past 2 weeks</w:t>
            </w:r>
          </w:p>
        </w:tc>
      </w:tr>
      <w:tr w:rsidR="00084993" w:rsidRPr="00283AD9" w:rsidTr="00E20040">
        <w:trPr>
          <w:trHeight w:val="150"/>
        </w:trPr>
        <w:tc>
          <w:tcPr>
            <w:tcW w:w="1850" w:type="dxa"/>
          </w:tcPr>
          <w:p w:rsidR="00084993" w:rsidRPr="00283AD9" w:rsidRDefault="00084993" w:rsidP="00E20040">
            <w:pPr>
              <w:rPr>
                <w:szCs w:val="24"/>
              </w:rPr>
            </w:pPr>
            <w:r w:rsidRPr="00283AD9">
              <w:rPr>
                <w:rFonts w:ascii="Verdana" w:hAnsi="Verdana" w:cs="Verdana"/>
                <w:color w:val="000000"/>
                <w:sz w:val="16"/>
                <w:szCs w:val="16"/>
              </w:rPr>
              <w:t>Cardiovascular health</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Heart rate (awake)&lt;40</w:t>
            </w:r>
          </w:p>
          <w:p w:rsidR="00084993" w:rsidRPr="00283AD9" w:rsidRDefault="00084993" w:rsidP="00E20040">
            <w:pPr>
              <w:rPr>
                <w:rFonts w:ascii="Verdana" w:hAnsi="Verdana" w:cs="Verdana"/>
                <w:color w:val="000000"/>
                <w:sz w:val="16"/>
                <w:szCs w:val="16"/>
                <w:vertAlign w:val="superscript"/>
              </w:rPr>
            </w:pPr>
            <w:r w:rsidRPr="00283AD9">
              <w:rPr>
                <w:rFonts w:ascii="Verdana" w:hAnsi="Verdana" w:cs="Verdana"/>
                <w:color w:val="000000"/>
                <w:sz w:val="16"/>
                <w:szCs w:val="16"/>
              </w:rPr>
              <w:t>bpm</w:t>
            </w:r>
            <w:r w:rsidRPr="00283AD9">
              <w:rPr>
                <w:rFonts w:ascii="Verdana" w:hAnsi="Verdana" w:cs="Verdana"/>
                <w:color w:val="000000"/>
                <w:sz w:val="16"/>
                <w:szCs w:val="16"/>
                <w:vertAlign w:val="superscript"/>
              </w:rPr>
              <w:t>a</w:t>
            </w:r>
          </w:p>
          <w:p w:rsidR="00084993" w:rsidRPr="00283AD9" w:rsidRDefault="00084993" w:rsidP="00E20040">
            <w:pPr>
              <w:rPr>
                <w:rFonts w:ascii="Verdana" w:hAnsi="Verdana" w:cs="Verdana"/>
                <w:color w:val="000000"/>
                <w:sz w:val="16"/>
                <w:szCs w:val="16"/>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rPr>
                <w:szCs w:val="24"/>
                <w:vertAlign w:val="superscript"/>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History of</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recurrent syncope; marked orthostatic changes (fall in systolic blood pressure of</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20 mmHg or more, or below 0.4th– 2nd centiles for age, or increase</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in heart rate of &gt;30 bpm)</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Irregular heart rhythm (does</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not include sinus arrhythmia)</w:t>
            </w:r>
          </w:p>
          <w:p w:rsidR="00084993" w:rsidRPr="00283AD9" w:rsidRDefault="00084993" w:rsidP="00E20040">
            <w:pPr>
              <w:rPr>
                <w:szCs w:val="24"/>
                <w:vertAlign w:val="superscript"/>
              </w:rPr>
            </w:pPr>
          </w:p>
        </w:tc>
        <w:tc>
          <w:tcPr>
            <w:tcW w:w="1962" w:type="dxa"/>
          </w:tcPr>
          <w:p w:rsidR="00084993" w:rsidRPr="00283AD9" w:rsidRDefault="00084993" w:rsidP="00E20040">
            <w:pPr>
              <w:autoSpaceDE w:val="0"/>
              <w:autoSpaceDN w:val="0"/>
              <w:adjustRightInd w:val="0"/>
              <w:rPr>
                <w:rFonts w:ascii="Verdana" w:hAnsi="Verdana" w:cs="Verdana"/>
                <w:color w:val="000000"/>
                <w:sz w:val="16"/>
                <w:szCs w:val="16"/>
              </w:rPr>
            </w:pPr>
            <w:r w:rsidRPr="00283AD9">
              <w:rPr>
                <w:rFonts w:ascii="Verdana" w:hAnsi="Verdana" w:cs="Verdana"/>
                <w:color w:val="000000"/>
                <w:sz w:val="16"/>
                <w:szCs w:val="16"/>
              </w:rPr>
              <w:t>Heart rate (awake) 40–50 bpm</w:t>
            </w:r>
          </w:p>
          <w:p w:rsidR="00084993" w:rsidRPr="00283AD9" w:rsidRDefault="00084993" w:rsidP="00E20040">
            <w:pPr>
              <w:autoSpaceDE w:val="0"/>
              <w:autoSpaceDN w:val="0"/>
              <w:adjustRightInd w:val="0"/>
              <w:rPr>
                <w:rFonts w:ascii="Verdana" w:hAnsi="Verdana"/>
                <w:szCs w:val="24"/>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Sitting blood pressure: systolic &lt;0.4th centile (84–98 mmHg depending</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on age and gender</w:t>
            </w:r>
            <w:r w:rsidRPr="00283AD9">
              <w:rPr>
                <w:rFonts w:ascii="Verdana" w:hAnsi="Verdana" w:cs="Verdana"/>
                <w:color w:val="000000"/>
                <w:sz w:val="16"/>
                <w:szCs w:val="16"/>
                <w:vertAlign w:val="superscript"/>
              </w:rPr>
              <w:t>b</w:t>
            </w:r>
            <w:r w:rsidRPr="00283AD9">
              <w:rPr>
                <w:rFonts w:ascii="Verdana" w:hAnsi="Verdana" w:cs="Verdana"/>
                <w:color w:val="000000"/>
                <w:sz w:val="16"/>
                <w:szCs w:val="16"/>
              </w:rPr>
              <w:t>); diastolic</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&lt;0.4th centile (35–40 mmHg depending on age and gender</w:t>
            </w:r>
          </w:p>
          <w:p w:rsidR="00084993" w:rsidRPr="00283AD9" w:rsidRDefault="00084993" w:rsidP="00E20040">
            <w:pPr>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Occasional syncope; moderate orthostatic cardiovascular changes (fall in systolic blood pressure of</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15 mmHg or more, or diastolic blood pressure fall of 10 mmHg or more within</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3 min standing, or increase in</w:t>
            </w:r>
          </w:p>
          <w:p w:rsidR="00084993" w:rsidRPr="00283AD9" w:rsidRDefault="00084993" w:rsidP="00E20040">
            <w:pPr>
              <w:rPr>
                <w:szCs w:val="24"/>
              </w:rPr>
            </w:pPr>
            <w:r w:rsidRPr="00283AD9">
              <w:rPr>
                <w:rFonts w:ascii="Verdana" w:hAnsi="Verdana" w:cs="Verdana"/>
                <w:color w:val="000000"/>
                <w:sz w:val="16"/>
                <w:szCs w:val="16"/>
              </w:rPr>
              <w:t>heart rate of up to 30bpm</w:t>
            </w: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Heart rate (awake) 50– 60 bpm</w:t>
            </w:r>
          </w:p>
          <w:p w:rsidR="00084993" w:rsidRPr="00283AD9" w:rsidRDefault="00084993" w:rsidP="00E20040">
            <w:pPr>
              <w:rPr>
                <w:szCs w:val="24"/>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Sitting blood pressure: systolic &lt;2nd centile (98–105 mmHg depending</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on age and gender</w:t>
            </w:r>
            <w:r w:rsidRPr="00283AD9">
              <w:rPr>
                <w:rFonts w:ascii="Verdana" w:hAnsi="Verdana" w:cs="Verdana"/>
                <w:color w:val="000000"/>
                <w:sz w:val="16"/>
                <w:szCs w:val="16"/>
                <w:vertAlign w:val="superscript"/>
              </w:rPr>
              <w:t>b</w:t>
            </w:r>
            <w:r w:rsidRPr="00283AD9">
              <w:rPr>
                <w:rFonts w:ascii="Verdana" w:hAnsi="Verdana" w:cs="Verdana"/>
                <w:color w:val="000000"/>
                <w:sz w:val="16"/>
                <w:szCs w:val="16"/>
              </w:rPr>
              <w:t>); diastolic</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&lt;2nd centile (40–45 mmHg depending on age and gender</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Pre-syncopal symptoms but normal orthostatic cardiovascular changes</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Cool peripheries; prolonged pe- ripheral capillary</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refll time (normal central capillary</w:t>
            </w:r>
          </w:p>
          <w:p w:rsidR="00084993" w:rsidRPr="00283AD9" w:rsidRDefault="00084993" w:rsidP="00E20040">
            <w:pPr>
              <w:rPr>
                <w:szCs w:val="24"/>
              </w:rPr>
            </w:pPr>
            <w:r w:rsidRPr="00283AD9">
              <w:rPr>
                <w:rFonts w:ascii="Verdana" w:hAnsi="Verdana" w:cs="Verdana"/>
                <w:color w:val="000000"/>
                <w:sz w:val="16"/>
                <w:szCs w:val="16"/>
              </w:rPr>
              <w:t>refll time)</w:t>
            </w:r>
          </w:p>
        </w:tc>
        <w:tc>
          <w:tcPr>
            <w:tcW w:w="1847"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Heart rate (awake) &gt;60bpm</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Normal sitting blood pressure for age and gender with reference to centile charts</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Normal orthostatic cardiovascular changes</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szCs w:val="24"/>
              </w:rPr>
            </w:pPr>
            <w:r w:rsidRPr="00283AD9">
              <w:rPr>
                <w:rFonts w:ascii="Verdana" w:hAnsi="Verdana" w:cs="Verdana"/>
                <w:color w:val="000000"/>
                <w:sz w:val="16"/>
                <w:szCs w:val="16"/>
              </w:rPr>
              <w:t>Normal heart rhythm</w:t>
            </w:r>
          </w:p>
        </w:tc>
      </w:tr>
      <w:tr w:rsidR="00084993" w:rsidRPr="00283AD9" w:rsidTr="00E20040">
        <w:trPr>
          <w:trHeight w:val="334"/>
        </w:trPr>
        <w:tc>
          <w:tcPr>
            <w:tcW w:w="1850" w:type="dxa"/>
          </w:tcPr>
          <w:p w:rsidR="00084993" w:rsidRPr="009970F7" w:rsidRDefault="00084993" w:rsidP="00E20040">
            <w:pPr>
              <w:rPr>
                <w:rFonts w:ascii="Verdana" w:hAnsi="Verdana"/>
                <w:sz w:val="16"/>
                <w:szCs w:val="24"/>
              </w:rPr>
            </w:pPr>
            <w:r w:rsidRPr="009970F7">
              <w:rPr>
                <w:rFonts w:ascii="Verdana" w:hAnsi="Verdana"/>
                <w:sz w:val="16"/>
                <w:szCs w:val="24"/>
              </w:rPr>
              <w:t>Temperature</w:t>
            </w:r>
          </w:p>
        </w:tc>
        <w:tc>
          <w:tcPr>
            <w:tcW w:w="1962" w:type="dxa"/>
          </w:tcPr>
          <w:p w:rsidR="00084993" w:rsidRPr="0095501E" w:rsidRDefault="00084993" w:rsidP="00E20040">
            <w:pPr>
              <w:rPr>
                <w:rFonts w:ascii="Verdana" w:hAnsi="Verdana" w:cs="Verdana"/>
                <w:color w:val="000000"/>
                <w:sz w:val="16"/>
                <w:szCs w:val="16"/>
              </w:rPr>
            </w:pPr>
            <w:r w:rsidRPr="009970F7">
              <w:rPr>
                <w:rFonts w:ascii="Verdana" w:hAnsi="Verdana"/>
                <w:sz w:val="16"/>
                <w:szCs w:val="24"/>
              </w:rPr>
              <w:t>Tympanic&lt;35.5</w:t>
            </w:r>
            <w:r w:rsidRPr="009970F7">
              <w:rPr>
                <w:rFonts w:ascii="Verdana" w:hAnsi="Verdana" w:cs="Verdana"/>
                <w:color w:val="000000"/>
                <w:sz w:val="16"/>
                <w:szCs w:val="16"/>
              </w:rPr>
              <w:t>°C, axillary &lt;35.0°C</w:t>
            </w:r>
          </w:p>
        </w:tc>
        <w:tc>
          <w:tcPr>
            <w:tcW w:w="1962" w:type="dxa"/>
          </w:tcPr>
          <w:p w:rsidR="00084993" w:rsidRPr="00283AD9" w:rsidRDefault="00084993" w:rsidP="00E20040">
            <w:pPr>
              <w:rPr>
                <w:szCs w:val="24"/>
              </w:rPr>
            </w:pPr>
            <w:r w:rsidRPr="00283AD9">
              <w:rPr>
                <w:rFonts w:ascii="Verdana" w:hAnsi="Verdana" w:cs="Verdana"/>
                <w:color w:val="000000"/>
                <w:sz w:val="16"/>
                <w:szCs w:val="16"/>
              </w:rPr>
              <w:t>&lt;36°C</w:t>
            </w:r>
          </w:p>
        </w:tc>
        <w:tc>
          <w:tcPr>
            <w:tcW w:w="1847" w:type="dxa"/>
          </w:tcPr>
          <w:p w:rsidR="00084993" w:rsidRPr="00283AD9" w:rsidRDefault="00084993" w:rsidP="00E20040">
            <w:pPr>
              <w:rPr>
                <w:szCs w:val="24"/>
              </w:rPr>
            </w:pPr>
          </w:p>
        </w:tc>
        <w:tc>
          <w:tcPr>
            <w:tcW w:w="1847" w:type="dxa"/>
          </w:tcPr>
          <w:p w:rsidR="00084993" w:rsidRPr="00283AD9" w:rsidRDefault="00084993" w:rsidP="00E20040">
            <w:pPr>
              <w:rPr>
                <w:szCs w:val="24"/>
              </w:rPr>
            </w:pPr>
          </w:p>
        </w:tc>
      </w:tr>
      <w:tr w:rsidR="00084993" w:rsidRPr="00283AD9" w:rsidTr="00E20040">
        <w:trPr>
          <w:trHeight w:val="2022"/>
        </w:trPr>
        <w:tc>
          <w:tcPr>
            <w:tcW w:w="1850" w:type="dxa"/>
          </w:tcPr>
          <w:p w:rsidR="00084993" w:rsidRPr="00283AD9" w:rsidRDefault="00084993" w:rsidP="00E20040">
            <w:pPr>
              <w:rPr>
                <w:szCs w:val="24"/>
              </w:rPr>
            </w:pPr>
            <w:r w:rsidRPr="00283AD9">
              <w:rPr>
                <w:rFonts w:ascii="Verdana" w:hAnsi="Verdana" w:cs="Verdana"/>
                <w:color w:val="000000"/>
                <w:sz w:val="16"/>
                <w:szCs w:val="16"/>
              </w:rPr>
              <w:t>Hydration status</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Fluid refusal</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Severe dehydration (10%): reduced</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urine output, dry mouth, decreased skin turgor, sunken eyes, tachypnoea,</w:t>
            </w:r>
          </w:p>
          <w:p w:rsidR="00084993" w:rsidRPr="00283AD9" w:rsidRDefault="00084993" w:rsidP="00E20040">
            <w:pPr>
              <w:rPr>
                <w:szCs w:val="24"/>
                <w:vertAlign w:val="superscript"/>
              </w:rPr>
            </w:pPr>
            <w:r w:rsidRPr="00283AD9">
              <w:rPr>
                <w:rFonts w:ascii="Verdana" w:hAnsi="Verdana" w:cs="Verdana"/>
                <w:color w:val="000000"/>
                <w:sz w:val="16"/>
                <w:szCs w:val="16"/>
              </w:rPr>
              <w:t>tachycardia</w:t>
            </w:r>
            <w:r w:rsidRPr="00283AD9">
              <w:rPr>
                <w:rFonts w:ascii="Verdana" w:hAnsi="Verdana" w:cs="Verdana"/>
                <w:color w:val="000000"/>
                <w:sz w:val="16"/>
                <w:szCs w:val="16"/>
                <w:vertAlign w:val="superscript"/>
              </w:rPr>
              <w:t>c</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Severe fluid restriction</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Moderate dehy- dration (5–10%): reduced urine out- put, dry mouth, normal skin turgor, some tachypnoea,</w:t>
            </w:r>
            <w:r w:rsidRPr="00283AD9">
              <w:rPr>
                <w:rFonts w:ascii="Verdana" w:hAnsi="Verdana"/>
                <w:szCs w:val="24"/>
              </w:rPr>
              <w:t xml:space="preserve"> </w:t>
            </w:r>
            <w:r w:rsidRPr="00283AD9">
              <w:rPr>
                <w:rFonts w:ascii="Verdana" w:hAnsi="Verdana"/>
                <w:sz w:val="16"/>
                <w:szCs w:val="16"/>
              </w:rPr>
              <w:t>some tachycardia</w:t>
            </w:r>
            <w:r w:rsidRPr="00283AD9">
              <w:rPr>
                <w:rFonts w:ascii="Verdana" w:hAnsi="Verdana"/>
                <w:sz w:val="16"/>
                <w:szCs w:val="16"/>
                <w:vertAlign w:val="superscript"/>
              </w:rPr>
              <w:t>c</w:t>
            </w:r>
            <w:r w:rsidRPr="00283AD9">
              <w:rPr>
                <w:rFonts w:ascii="Verdana" w:hAnsi="Verdana"/>
                <w:sz w:val="16"/>
                <w:szCs w:val="16"/>
              </w:rPr>
              <w:t>, peripheral oedema</w:t>
            </w: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Fluid restriction Mild dehydration</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(&lt;5%): may have dry mouth or not clinically dehy- drated but with concerns about risk of dehydration</w:t>
            </w:r>
          </w:p>
          <w:p w:rsidR="00084993" w:rsidRPr="00283AD9" w:rsidRDefault="00084993" w:rsidP="00E20040">
            <w:pPr>
              <w:rPr>
                <w:szCs w:val="24"/>
              </w:rPr>
            </w:pPr>
            <w:r w:rsidRPr="00283AD9">
              <w:rPr>
                <w:rFonts w:ascii="Verdana" w:hAnsi="Verdana" w:cs="Verdana"/>
                <w:color w:val="000000"/>
                <w:sz w:val="16"/>
                <w:szCs w:val="16"/>
              </w:rPr>
              <w:t>with negative fuid balance</w:t>
            </w:r>
          </w:p>
        </w:tc>
        <w:tc>
          <w:tcPr>
            <w:tcW w:w="1847" w:type="dxa"/>
          </w:tcPr>
          <w:p w:rsidR="00084993" w:rsidRPr="00283AD9" w:rsidRDefault="00084993" w:rsidP="00E20040">
            <w:pPr>
              <w:rPr>
                <w:szCs w:val="24"/>
              </w:rPr>
            </w:pPr>
            <w:r w:rsidRPr="00283AD9">
              <w:rPr>
                <w:rFonts w:ascii="Verdana" w:hAnsi="Verdana" w:cs="Verdana"/>
                <w:color w:val="000000"/>
                <w:sz w:val="16"/>
                <w:szCs w:val="16"/>
              </w:rPr>
              <w:t>Not clinically dehydrated</w:t>
            </w:r>
          </w:p>
        </w:tc>
      </w:tr>
      <w:tr w:rsidR="00084993" w:rsidRPr="00283AD9" w:rsidTr="00E20040">
        <w:trPr>
          <w:trHeight w:val="2036"/>
        </w:trPr>
        <w:tc>
          <w:tcPr>
            <w:tcW w:w="1850" w:type="dxa"/>
          </w:tcPr>
          <w:p w:rsidR="00084993" w:rsidRPr="00283AD9" w:rsidRDefault="00084993" w:rsidP="00E20040">
            <w:pPr>
              <w:rPr>
                <w:szCs w:val="24"/>
              </w:rPr>
            </w:pPr>
            <w:r w:rsidRPr="00283AD9">
              <w:rPr>
                <w:rFonts w:ascii="Verdana" w:hAnsi="Verdana" w:cs="Verdana"/>
                <w:color w:val="000000"/>
                <w:sz w:val="16"/>
                <w:szCs w:val="16"/>
              </w:rPr>
              <w:lastRenderedPageBreak/>
              <w:t>ECG abnormalities</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QTc&gt;460 ms (girls) or 400 ms (boys) with evidence of bradyarrhythmia</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or tachyarrhythmia (excludes sinus bradycardia and sinus arrhythmia); ECG evidence</w:t>
            </w:r>
          </w:p>
          <w:p w:rsidR="00084993" w:rsidRPr="00283AD9" w:rsidRDefault="00084993" w:rsidP="00E20040">
            <w:pPr>
              <w:rPr>
                <w:szCs w:val="24"/>
              </w:rPr>
            </w:pPr>
            <w:r w:rsidRPr="00283AD9">
              <w:rPr>
                <w:rFonts w:ascii="Verdana" w:hAnsi="Verdana" w:cs="Verdana"/>
                <w:color w:val="000000"/>
                <w:sz w:val="16"/>
                <w:szCs w:val="16"/>
              </w:rPr>
              <w:t>of biochemical abnormality</w:t>
            </w:r>
          </w:p>
        </w:tc>
        <w:tc>
          <w:tcPr>
            <w:tcW w:w="1962" w:type="dxa"/>
          </w:tcPr>
          <w:p w:rsidR="00084993" w:rsidRPr="00283AD9" w:rsidRDefault="00084993" w:rsidP="00E20040">
            <w:pPr>
              <w:rPr>
                <w:szCs w:val="24"/>
              </w:rPr>
            </w:pPr>
            <w:r w:rsidRPr="00283AD9">
              <w:rPr>
                <w:rFonts w:ascii="Verdana" w:hAnsi="Verdana" w:cs="Verdana"/>
                <w:color w:val="000000"/>
                <w:sz w:val="16"/>
                <w:szCs w:val="16"/>
              </w:rPr>
              <w:t>QTc&gt;460 ms (girls) or 400 ms (boys)</w:t>
            </w: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QTc&lt;460 ms (girls) or 400 ms (boys) and taking medication</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known to prolong QTc interval, family history of prolonged QTc</w:t>
            </w:r>
          </w:p>
          <w:p w:rsidR="00084993" w:rsidRPr="00283AD9" w:rsidRDefault="00084993" w:rsidP="00E20040">
            <w:pPr>
              <w:rPr>
                <w:szCs w:val="24"/>
              </w:rPr>
            </w:pPr>
            <w:r w:rsidRPr="00283AD9">
              <w:rPr>
                <w:rFonts w:ascii="Verdana" w:hAnsi="Verdana" w:cs="Verdana"/>
                <w:color w:val="000000"/>
                <w:sz w:val="16"/>
                <w:szCs w:val="16"/>
              </w:rPr>
              <w:t>or sensorineural deafness</w:t>
            </w:r>
          </w:p>
        </w:tc>
        <w:tc>
          <w:tcPr>
            <w:tcW w:w="1847" w:type="dxa"/>
          </w:tcPr>
          <w:p w:rsidR="00084993" w:rsidRPr="00283AD9" w:rsidRDefault="00084993" w:rsidP="00E20040">
            <w:pPr>
              <w:rPr>
                <w:szCs w:val="24"/>
              </w:rPr>
            </w:pPr>
            <w:r w:rsidRPr="00283AD9">
              <w:rPr>
                <w:rFonts w:ascii="Verdana" w:hAnsi="Verdana" w:cs="Verdana"/>
                <w:color w:val="000000"/>
                <w:sz w:val="16"/>
                <w:szCs w:val="16"/>
              </w:rPr>
              <w:t>QTc&lt;460 ms (girls) or 400 ms (boys)</w:t>
            </w:r>
          </w:p>
        </w:tc>
      </w:tr>
      <w:tr w:rsidR="00084993" w:rsidRPr="00283AD9" w:rsidTr="00E20040">
        <w:trPr>
          <w:trHeight w:val="1050"/>
        </w:trPr>
        <w:tc>
          <w:tcPr>
            <w:tcW w:w="1850" w:type="dxa"/>
          </w:tcPr>
          <w:p w:rsidR="00084993" w:rsidRPr="00283AD9" w:rsidRDefault="00084993" w:rsidP="00E20040">
            <w:pPr>
              <w:rPr>
                <w:szCs w:val="24"/>
              </w:rPr>
            </w:pPr>
            <w:r w:rsidRPr="00283AD9">
              <w:rPr>
                <w:rFonts w:ascii="Verdana" w:hAnsi="Verdana" w:cs="Verdana"/>
                <w:color w:val="000000"/>
                <w:sz w:val="16"/>
                <w:szCs w:val="16"/>
              </w:rPr>
              <w:t>Disordered eating behaviours</w:t>
            </w:r>
          </w:p>
        </w:tc>
        <w:tc>
          <w:tcPr>
            <w:tcW w:w="1962" w:type="dxa"/>
          </w:tcPr>
          <w:p w:rsidR="00084993" w:rsidRPr="00283AD9" w:rsidRDefault="00084993" w:rsidP="00E20040">
            <w:pPr>
              <w:rPr>
                <w:szCs w:val="24"/>
              </w:rPr>
            </w:pPr>
            <w:r w:rsidRPr="00283AD9">
              <w:rPr>
                <w:rFonts w:ascii="Verdana" w:hAnsi="Verdana" w:cs="Verdana"/>
                <w:color w:val="000000"/>
                <w:sz w:val="16"/>
                <w:szCs w:val="16"/>
              </w:rPr>
              <w:t>Acute food refusal or estimated calorie intake 400–600 kcal per day</w:t>
            </w:r>
          </w:p>
        </w:tc>
        <w:tc>
          <w:tcPr>
            <w:tcW w:w="1962" w:type="dxa"/>
          </w:tcPr>
          <w:p w:rsidR="00084993" w:rsidRPr="00283AD9" w:rsidRDefault="00084993" w:rsidP="00E20040">
            <w:pPr>
              <w:rPr>
                <w:szCs w:val="24"/>
              </w:rPr>
            </w:pPr>
            <w:r w:rsidRPr="00283AD9">
              <w:rPr>
                <w:rFonts w:ascii="Verdana" w:hAnsi="Verdana" w:cs="Verdana"/>
                <w:color w:val="000000"/>
                <w:sz w:val="16"/>
                <w:szCs w:val="16"/>
              </w:rPr>
              <w:t>Severe restriction (less than 50% of required intake), vomiting, purging with laxatives</w:t>
            </w:r>
          </w:p>
        </w:tc>
        <w:tc>
          <w:tcPr>
            <w:tcW w:w="1847" w:type="dxa"/>
          </w:tcPr>
          <w:p w:rsidR="00084993" w:rsidRPr="00283AD9" w:rsidRDefault="00084993" w:rsidP="00E20040">
            <w:pPr>
              <w:rPr>
                <w:szCs w:val="24"/>
              </w:rPr>
            </w:pPr>
            <w:r w:rsidRPr="00283AD9">
              <w:rPr>
                <w:rFonts w:ascii="Verdana" w:hAnsi="Verdana" w:cs="Verdana"/>
                <w:color w:val="000000"/>
                <w:sz w:val="16"/>
                <w:szCs w:val="16"/>
              </w:rPr>
              <w:t>Moderate restriction, bingeing</w:t>
            </w:r>
          </w:p>
        </w:tc>
        <w:tc>
          <w:tcPr>
            <w:tcW w:w="1847" w:type="dxa"/>
          </w:tcPr>
          <w:p w:rsidR="00084993" w:rsidRPr="00283AD9" w:rsidRDefault="00084993" w:rsidP="00E20040">
            <w:pPr>
              <w:rPr>
                <w:szCs w:val="24"/>
              </w:rPr>
            </w:pPr>
          </w:p>
        </w:tc>
      </w:tr>
      <w:tr w:rsidR="00084993" w:rsidRPr="00283AD9" w:rsidTr="00E20040">
        <w:trPr>
          <w:trHeight w:val="1244"/>
        </w:trPr>
        <w:tc>
          <w:tcPr>
            <w:tcW w:w="1850"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Activity and exercise</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High levels of uncontrolled exercise in</w:t>
            </w:r>
            <w:r>
              <w:rPr>
                <w:rFonts w:ascii="Verdana" w:hAnsi="Verdana" w:cs="Verdana"/>
                <w:color w:val="000000"/>
                <w:sz w:val="16"/>
                <w:szCs w:val="16"/>
              </w:rPr>
              <w:t xml:space="preserve"> </w:t>
            </w:r>
            <w:r w:rsidRPr="00283AD9">
              <w:rPr>
                <w:rFonts w:ascii="Verdana" w:hAnsi="Verdana" w:cs="Verdana"/>
                <w:color w:val="000000"/>
                <w:sz w:val="16"/>
                <w:szCs w:val="16"/>
              </w:rPr>
              <w:t>the context of malnutrition</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(&gt;2 h/day)</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Moderate levels of uncontrolled exercise in</w:t>
            </w:r>
            <w:r>
              <w:rPr>
                <w:rFonts w:ascii="Verdana" w:hAnsi="Verdana" w:cs="Verdana"/>
                <w:color w:val="000000"/>
                <w:sz w:val="16"/>
                <w:szCs w:val="16"/>
              </w:rPr>
              <w:t xml:space="preserve"> </w:t>
            </w:r>
            <w:r w:rsidRPr="00283AD9">
              <w:rPr>
                <w:rFonts w:ascii="Verdana" w:hAnsi="Verdana" w:cs="Verdana"/>
                <w:color w:val="000000"/>
                <w:sz w:val="16"/>
                <w:szCs w:val="16"/>
              </w:rPr>
              <w:t>the context of malnutrition</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(&gt;1 h/day)</w:t>
            </w: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Mild levels of uncontrolled exercise in</w:t>
            </w:r>
            <w:r>
              <w:rPr>
                <w:rFonts w:ascii="Verdana" w:hAnsi="Verdana" w:cs="Verdana"/>
                <w:color w:val="000000"/>
                <w:sz w:val="16"/>
                <w:szCs w:val="16"/>
              </w:rPr>
              <w:t xml:space="preserve"> </w:t>
            </w:r>
            <w:r w:rsidRPr="00283AD9">
              <w:rPr>
                <w:rFonts w:ascii="Verdana" w:hAnsi="Verdana" w:cs="Verdana"/>
                <w:color w:val="000000"/>
                <w:sz w:val="16"/>
                <w:szCs w:val="16"/>
              </w:rPr>
              <w:t>the context of malnutrition</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(&lt;1 h/day)</w:t>
            </w:r>
          </w:p>
        </w:tc>
        <w:tc>
          <w:tcPr>
            <w:tcW w:w="1847" w:type="dxa"/>
          </w:tcPr>
          <w:p w:rsidR="00084993" w:rsidRPr="00283AD9" w:rsidRDefault="00084993" w:rsidP="00E20040">
            <w:pPr>
              <w:rPr>
                <w:szCs w:val="24"/>
              </w:rPr>
            </w:pPr>
            <w:r w:rsidRPr="00283AD9">
              <w:rPr>
                <w:rFonts w:ascii="Verdana" w:hAnsi="Verdana" w:cs="Verdana"/>
                <w:color w:val="000000"/>
                <w:sz w:val="16"/>
                <w:szCs w:val="16"/>
              </w:rPr>
              <w:t>No uncontrolled exercise</w:t>
            </w:r>
          </w:p>
        </w:tc>
      </w:tr>
      <w:tr w:rsidR="00084993" w:rsidRPr="00283AD9" w:rsidTr="00E20040">
        <w:trPr>
          <w:trHeight w:val="1222"/>
        </w:trPr>
        <w:tc>
          <w:tcPr>
            <w:tcW w:w="1850"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Biochemical abnormalities</w:t>
            </w:r>
          </w:p>
        </w:tc>
        <w:tc>
          <w:tcPr>
            <w:tcW w:w="1962"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Hypophosphataemia &lt;0.5mmol/l, hypokalaemia &lt;2.5mmol/l, hypoalbuminaemia, hypoglycaemia &lt;2.5mmol/l, hyponatraemia &lt;130mmol/l, hypocalcaemia</w:t>
            </w:r>
          </w:p>
        </w:tc>
        <w:tc>
          <w:tcPr>
            <w:tcW w:w="1962"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Hypophosphataemia, hypokalaemia, hyponatraemia, hypocalcaemia</w:t>
            </w:r>
          </w:p>
        </w:tc>
        <w:tc>
          <w:tcPr>
            <w:tcW w:w="1847" w:type="dxa"/>
          </w:tcPr>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tc>
        <w:tc>
          <w:tcPr>
            <w:tcW w:w="1847" w:type="dxa"/>
          </w:tcPr>
          <w:p w:rsidR="00084993" w:rsidRPr="00283AD9" w:rsidRDefault="00084993" w:rsidP="00E20040">
            <w:pPr>
              <w:rPr>
                <w:rFonts w:ascii="Verdana" w:hAnsi="Verdana" w:cs="Verdana"/>
                <w:color w:val="000000"/>
                <w:sz w:val="16"/>
                <w:szCs w:val="16"/>
              </w:rPr>
            </w:pPr>
          </w:p>
        </w:tc>
      </w:tr>
      <w:tr w:rsidR="00084993" w:rsidRPr="00283AD9" w:rsidTr="00E20040">
        <w:trPr>
          <w:trHeight w:val="997"/>
        </w:trPr>
        <w:tc>
          <w:tcPr>
            <w:tcW w:w="1850"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Engagement with management plan</w:t>
            </w:r>
          </w:p>
        </w:tc>
        <w:tc>
          <w:tcPr>
            <w:tcW w:w="1962"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Violent when parents try to limit behaviour or encourage</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food/fuid intake, parental violence</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in relation to feeding (hitting, force feeding)</w:t>
            </w:r>
          </w:p>
        </w:tc>
        <w:tc>
          <w:tcPr>
            <w:tcW w:w="1962"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Poor insight into eating problems, lacks m</w:t>
            </w:r>
            <w:r>
              <w:rPr>
                <w:rFonts w:ascii="Verdana" w:hAnsi="Verdana" w:cs="Verdana"/>
                <w:color w:val="000000"/>
                <w:sz w:val="16"/>
                <w:szCs w:val="16"/>
              </w:rPr>
              <w:t>otivation to tackle eating prob</w:t>
            </w:r>
            <w:r w:rsidRPr="00283AD9">
              <w:rPr>
                <w:rFonts w:ascii="Verdana" w:hAnsi="Verdana" w:cs="Verdana"/>
                <w:color w:val="000000"/>
                <w:sz w:val="16"/>
                <w:szCs w:val="16"/>
              </w:rPr>
              <w:t>lems, resistance to changes required to gain weight, parents unable to implement meal plan advice given by healthcare providers</w:t>
            </w:r>
          </w:p>
        </w:tc>
        <w:tc>
          <w:tcPr>
            <w:tcW w:w="1847" w:type="dxa"/>
          </w:tcPr>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Some insight into eating problems, some motivation to tackle eating problems, ambivalent towards changes required to gain weight but not actively resisting</w:t>
            </w:r>
          </w:p>
          <w:p w:rsidR="00084993" w:rsidRPr="00283AD9" w:rsidRDefault="00084993" w:rsidP="00E20040">
            <w:pPr>
              <w:rPr>
                <w:rFonts w:ascii="Verdana" w:hAnsi="Verdana" w:cs="Verdana"/>
                <w:color w:val="000000"/>
                <w:sz w:val="16"/>
                <w:szCs w:val="16"/>
              </w:rPr>
            </w:pPr>
          </w:p>
          <w:p w:rsidR="00084993" w:rsidRPr="00283AD9" w:rsidRDefault="00084993" w:rsidP="00E20040">
            <w:pPr>
              <w:rPr>
                <w:rFonts w:ascii="Verdana" w:hAnsi="Verdana" w:cs="Verdana"/>
                <w:color w:val="000000"/>
                <w:sz w:val="16"/>
                <w:szCs w:val="16"/>
              </w:rPr>
            </w:pPr>
          </w:p>
        </w:tc>
        <w:tc>
          <w:tcPr>
            <w:tcW w:w="1847" w:type="dxa"/>
          </w:tcPr>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Some insight into eating problems, motivated to tackle eating problems, ambivalence towards changes required to</w:t>
            </w:r>
          </w:p>
          <w:p w:rsidR="00084993" w:rsidRPr="00283AD9" w:rsidRDefault="00084993" w:rsidP="00E20040">
            <w:pPr>
              <w:autoSpaceDE w:val="0"/>
              <w:autoSpaceDN w:val="0"/>
              <w:adjustRightInd w:val="0"/>
              <w:rPr>
                <w:rFonts w:ascii="Verdana" w:hAnsi="Verdana"/>
                <w:szCs w:val="24"/>
              </w:rPr>
            </w:pPr>
            <w:r w:rsidRPr="00283AD9">
              <w:rPr>
                <w:rFonts w:ascii="Verdana" w:hAnsi="Verdana" w:cs="Verdana"/>
                <w:color w:val="000000"/>
                <w:sz w:val="16"/>
                <w:szCs w:val="16"/>
              </w:rPr>
              <w:t>gain weight</w:t>
            </w:r>
          </w:p>
          <w:p w:rsidR="00084993" w:rsidRPr="00283AD9" w:rsidRDefault="00084993" w:rsidP="00E20040">
            <w:pPr>
              <w:rPr>
                <w:rFonts w:ascii="Verdana" w:hAnsi="Verdana" w:cs="Verdana"/>
                <w:color w:val="000000"/>
                <w:sz w:val="16"/>
                <w:szCs w:val="16"/>
              </w:rPr>
            </w:pPr>
            <w:r w:rsidRPr="00283AD9">
              <w:rPr>
                <w:rFonts w:ascii="Verdana" w:hAnsi="Verdana" w:cs="Verdana"/>
                <w:color w:val="000000"/>
                <w:sz w:val="16"/>
                <w:szCs w:val="16"/>
              </w:rPr>
              <w:t>not apparent in behaviour</w:t>
            </w:r>
          </w:p>
        </w:tc>
      </w:tr>
    </w:tbl>
    <w:p w:rsidR="00084993" w:rsidRDefault="00084993" w:rsidP="00084993">
      <w:pPr>
        <w:autoSpaceDE w:val="0"/>
        <w:autoSpaceDN w:val="0"/>
        <w:adjustRightInd w:val="0"/>
        <w:rPr>
          <w:rFonts w:ascii="Verdana" w:hAnsi="Verdana"/>
          <w:szCs w:val="24"/>
        </w:rPr>
      </w:pPr>
      <w:r>
        <w:rPr>
          <w:rFonts w:ascii="Verdana" w:hAnsi="Verdana" w:cs="Verdana"/>
          <w:color w:val="000000"/>
          <w:sz w:val="14"/>
          <w:szCs w:val="14"/>
        </w:rPr>
        <w:t>a. Patients with inappropriately high heart rate for degree of underweight are at even higher risk (hypovolaemia). Heart rate may also be increased purposefully through the consumption of excess caffeine in coffee or other drinks.</w:t>
      </w:r>
    </w:p>
    <w:p w:rsidR="00084993" w:rsidRDefault="00084993" w:rsidP="00084993">
      <w:pPr>
        <w:autoSpaceDE w:val="0"/>
        <w:autoSpaceDN w:val="0"/>
        <w:adjustRightInd w:val="0"/>
        <w:rPr>
          <w:rFonts w:ascii="Verdana" w:hAnsi="Verdana"/>
          <w:szCs w:val="24"/>
        </w:rPr>
      </w:pPr>
      <w:r>
        <w:rPr>
          <w:rFonts w:ascii="Verdana" w:hAnsi="Verdana" w:cs="Verdana"/>
          <w:color w:val="000000"/>
          <w:sz w:val="14"/>
          <w:szCs w:val="14"/>
        </w:rPr>
        <w:t>b. Jackson et al, 2007.</w:t>
      </w:r>
    </w:p>
    <w:p w:rsidR="00084993" w:rsidRPr="00F82679" w:rsidRDefault="00084993" w:rsidP="00084993">
      <w:pPr>
        <w:rPr>
          <w:szCs w:val="24"/>
        </w:rPr>
      </w:pPr>
      <w:r>
        <w:rPr>
          <w:rFonts w:ascii="Verdana" w:hAnsi="Verdana" w:cs="Verdana"/>
          <w:color w:val="000000"/>
          <w:sz w:val="14"/>
          <w:szCs w:val="14"/>
        </w:rPr>
        <w:t>c. Or inappropriate normal heart rate in an underweight young person.</w:t>
      </w:r>
    </w:p>
    <w:p w:rsidR="00084993" w:rsidRDefault="00084993" w:rsidP="00084993">
      <w:pPr>
        <w:rPr>
          <w:b/>
          <w:szCs w:val="24"/>
        </w:rPr>
      </w:pPr>
    </w:p>
    <w:p w:rsidR="00084993" w:rsidRDefault="00084993" w:rsidP="00084993">
      <w:pPr>
        <w:rPr>
          <w:b/>
          <w:szCs w:val="24"/>
        </w:rPr>
      </w:pPr>
    </w:p>
    <w:p w:rsidR="00084993" w:rsidRDefault="00084993" w:rsidP="00084993">
      <w:pPr>
        <w:rPr>
          <w:b/>
          <w:szCs w:val="24"/>
        </w:rPr>
      </w:pPr>
    </w:p>
    <w:p w:rsidR="00084993" w:rsidRPr="002654A4" w:rsidRDefault="00084993" w:rsidP="00084993">
      <w:pPr>
        <w:rPr>
          <w:b/>
          <w:szCs w:val="24"/>
        </w:rPr>
      </w:pPr>
      <w:r w:rsidRPr="002654A4">
        <w:rPr>
          <w:b/>
          <w:szCs w:val="24"/>
        </w:rPr>
        <w:t>Differential diagnosis</w:t>
      </w:r>
    </w:p>
    <w:p w:rsidR="00084993" w:rsidRDefault="00084993" w:rsidP="00084993">
      <w:pPr>
        <w:rPr>
          <w:szCs w:val="24"/>
        </w:rPr>
      </w:pPr>
      <w:r w:rsidRPr="002654A4">
        <w:rPr>
          <w:szCs w:val="24"/>
        </w:rPr>
        <w:t>Diagnosis of</w:t>
      </w:r>
      <w:r>
        <w:rPr>
          <w:szCs w:val="24"/>
        </w:rPr>
        <w:t xml:space="preserve"> eating disorders relies on evidence of abnormal eating behaviour plus disordered thinking and beliefs about weight and body shape. If these abnormal beliefs and behaviours are not present then alternative diagnoses should be considered including;</w:t>
      </w:r>
    </w:p>
    <w:p w:rsidR="00084993" w:rsidRDefault="00084993" w:rsidP="00084993">
      <w:pPr>
        <w:pStyle w:val="ListParagraph"/>
        <w:widowControl/>
        <w:numPr>
          <w:ilvl w:val="0"/>
          <w:numId w:val="1"/>
        </w:numPr>
        <w:spacing w:after="200" w:line="276" w:lineRule="auto"/>
        <w:contextualSpacing/>
        <w:rPr>
          <w:szCs w:val="24"/>
        </w:rPr>
      </w:pPr>
      <w:r w:rsidRPr="002654A4">
        <w:rPr>
          <w:szCs w:val="24"/>
        </w:rPr>
        <w:t>Gastrointestinal – inflammatory bowel disease, malabsorption, c</w:t>
      </w:r>
      <w:r>
        <w:rPr>
          <w:szCs w:val="24"/>
        </w:rPr>
        <w:t>o</w:t>
      </w:r>
      <w:r w:rsidRPr="002654A4">
        <w:rPr>
          <w:szCs w:val="24"/>
        </w:rPr>
        <w:t>eliac disease</w:t>
      </w:r>
    </w:p>
    <w:p w:rsidR="00084993" w:rsidRPr="002654A4" w:rsidRDefault="00084993" w:rsidP="00084993">
      <w:pPr>
        <w:pStyle w:val="ListParagraph"/>
        <w:widowControl/>
        <w:numPr>
          <w:ilvl w:val="0"/>
          <w:numId w:val="1"/>
        </w:numPr>
        <w:spacing w:after="200" w:line="276" w:lineRule="auto"/>
        <w:contextualSpacing/>
        <w:rPr>
          <w:szCs w:val="24"/>
        </w:rPr>
      </w:pPr>
      <w:r w:rsidRPr="002654A4">
        <w:rPr>
          <w:szCs w:val="24"/>
        </w:rPr>
        <w:t>Malignancy</w:t>
      </w:r>
      <w:r>
        <w:rPr>
          <w:szCs w:val="24"/>
        </w:rPr>
        <w:t xml:space="preserve"> – leukaemia, lymphoma, intracerebral tumour</w:t>
      </w:r>
    </w:p>
    <w:p w:rsidR="00084993" w:rsidRPr="002654A4" w:rsidRDefault="00084993" w:rsidP="00084993">
      <w:pPr>
        <w:pStyle w:val="ListParagraph"/>
        <w:widowControl/>
        <w:numPr>
          <w:ilvl w:val="0"/>
          <w:numId w:val="1"/>
        </w:numPr>
        <w:spacing w:after="200" w:line="276" w:lineRule="auto"/>
        <w:contextualSpacing/>
        <w:rPr>
          <w:szCs w:val="24"/>
        </w:rPr>
      </w:pPr>
      <w:r w:rsidRPr="002654A4">
        <w:rPr>
          <w:szCs w:val="24"/>
        </w:rPr>
        <w:t>Endocrine – diabetes, hyperthyroidism, hypopituitarism, Addison’s disease</w:t>
      </w:r>
    </w:p>
    <w:p w:rsidR="00084993" w:rsidRPr="002654A4" w:rsidRDefault="00084993" w:rsidP="00084993">
      <w:pPr>
        <w:pStyle w:val="ListParagraph"/>
        <w:widowControl/>
        <w:numPr>
          <w:ilvl w:val="0"/>
          <w:numId w:val="1"/>
        </w:numPr>
        <w:spacing w:after="200" w:line="276" w:lineRule="auto"/>
        <w:contextualSpacing/>
        <w:rPr>
          <w:szCs w:val="24"/>
        </w:rPr>
      </w:pPr>
      <w:r w:rsidRPr="002654A4">
        <w:rPr>
          <w:szCs w:val="24"/>
        </w:rPr>
        <w:t>Chronic infection</w:t>
      </w:r>
      <w:r>
        <w:rPr>
          <w:szCs w:val="24"/>
        </w:rPr>
        <w:t xml:space="preserve"> – TB, HIV</w:t>
      </w:r>
    </w:p>
    <w:p w:rsidR="00084993" w:rsidRPr="002654A4" w:rsidRDefault="00084993" w:rsidP="00084993">
      <w:pPr>
        <w:pStyle w:val="ListParagraph"/>
        <w:widowControl/>
        <w:numPr>
          <w:ilvl w:val="0"/>
          <w:numId w:val="1"/>
        </w:numPr>
        <w:spacing w:after="200" w:line="276" w:lineRule="auto"/>
        <w:contextualSpacing/>
        <w:rPr>
          <w:szCs w:val="24"/>
        </w:rPr>
      </w:pPr>
      <w:r w:rsidRPr="002654A4">
        <w:rPr>
          <w:szCs w:val="24"/>
        </w:rPr>
        <w:t>CNS disease</w:t>
      </w:r>
    </w:p>
    <w:p w:rsidR="00084993" w:rsidRDefault="00084993" w:rsidP="00084993">
      <w:pPr>
        <w:pStyle w:val="ListParagraph"/>
        <w:widowControl/>
        <w:numPr>
          <w:ilvl w:val="0"/>
          <w:numId w:val="1"/>
        </w:numPr>
        <w:spacing w:after="200" w:line="276" w:lineRule="auto"/>
        <w:contextualSpacing/>
        <w:rPr>
          <w:szCs w:val="24"/>
        </w:rPr>
      </w:pPr>
      <w:r>
        <w:rPr>
          <w:szCs w:val="24"/>
        </w:rPr>
        <w:t>Other psychiatric disorders: depression, OCD</w:t>
      </w:r>
    </w:p>
    <w:p w:rsidR="00084993" w:rsidRDefault="00084993" w:rsidP="00084993">
      <w:pPr>
        <w:rPr>
          <w:szCs w:val="24"/>
        </w:rPr>
      </w:pPr>
    </w:p>
    <w:p w:rsidR="00084993" w:rsidRDefault="00084993" w:rsidP="00084993">
      <w:pPr>
        <w:rPr>
          <w:b/>
          <w:szCs w:val="24"/>
        </w:rPr>
      </w:pPr>
      <w:r>
        <w:rPr>
          <w:b/>
          <w:szCs w:val="24"/>
        </w:rPr>
        <w:t>Investigations</w:t>
      </w:r>
    </w:p>
    <w:p w:rsidR="00084993" w:rsidRDefault="00084993" w:rsidP="00084993">
      <w:pPr>
        <w:pStyle w:val="ListParagraph"/>
        <w:widowControl/>
        <w:numPr>
          <w:ilvl w:val="0"/>
          <w:numId w:val="2"/>
        </w:numPr>
        <w:spacing w:after="200" w:line="276" w:lineRule="auto"/>
        <w:contextualSpacing/>
        <w:rPr>
          <w:szCs w:val="24"/>
        </w:rPr>
      </w:pPr>
      <w:r w:rsidRPr="00896642">
        <w:rPr>
          <w:szCs w:val="24"/>
        </w:rPr>
        <w:t>FBC</w:t>
      </w:r>
      <w:r>
        <w:rPr>
          <w:szCs w:val="24"/>
        </w:rPr>
        <w:t xml:space="preserve"> (anaemia, leucopoenia &amp; thrombocytopenia can all occur in anorexia)</w:t>
      </w:r>
    </w:p>
    <w:p w:rsidR="00084993" w:rsidRDefault="00084993" w:rsidP="00084993">
      <w:pPr>
        <w:pStyle w:val="ListParagraph"/>
        <w:widowControl/>
        <w:numPr>
          <w:ilvl w:val="0"/>
          <w:numId w:val="2"/>
        </w:numPr>
        <w:spacing w:after="200" w:line="276" w:lineRule="auto"/>
        <w:contextualSpacing/>
        <w:rPr>
          <w:szCs w:val="24"/>
        </w:rPr>
      </w:pPr>
      <w:r>
        <w:rPr>
          <w:szCs w:val="24"/>
        </w:rPr>
        <w:t>U&amp;E (low creatinine can occur due to low muscle mass &amp; high urea due to catabolic state, rather than dehydration, but high creatinine can be seen if muscle breakdown. So results must be interpreted in light of clinical assessment)</w:t>
      </w:r>
    </w:p>
    <w:p w:rsidR="00084993" w:rsidRDefault="00084993" w:rsidP="00084993">
      <w:pPr>
        <w:pStyle w:val="ListParagraph"/>
        <w:widowControl/>
        <w:numPr>
          <w:ilvl w:val="0"/>
          <w:numId w:val="2"/>
        </w:numPr>
        <w:spacing w:after="200" w:line="276" w:lineRule="auto"/>
        <w:contextualSpacing/>
        <w:rPr>
          <w:szCs w:val="24"/>
        </w:rPr>
      </w:pPr>
      <w:r>
        <w:rPr>
          <w:szCs w:val="24"/>
        </w:rPr>
        <w:t>LFT (mildly raised bilirubin &amp; liver enzymes are not uncommon)</w:t>
      </w:r>
    </w:p>
    <w:p w:rsidR="00084993" w:rsidRDefault="00084993" w:rsidP="00084993">
      <w:pPr>
        <w:pStyle w:val="ListParagraph"/>
        <w:widowControl/>
        <w:numPr>
          <w:ilvl w:val="0"/>
          <w:numId w:val="2"/>
        </w:numPr>
        <w:spacing w:after="200" w:line="276" w:lineRule="auto"/>
        <w:contextualSpacing/>
        <w:rPr>
          <w:szCs w:val="24"/>
        </w:rPr>
      </w:pPr>
      <w:r>
        <w:rPr>
          <w:szCs w:val="24"/>
        </w:rPr>
        <w:t>Bone profile, Magnesium, Glucose</w:t>
      </w:r>
    </w:p>
    <w:p w:rsidR="00084993" w:rsidRDefault="00084993" w:rsidP="00084993">
      <w:pPr>
        <w:pStyle w:val="ListParagraph"/>
        <w:widowControl/>
        <w:numPr>
          <w:ilvl w:val="0"/>
          <w:numId w:val="2"/>
        </w:numPr>
        <w:spacing w:after="200" w:line="276" w:lineRule="auto"/>
        <w:contextualSpacing/>
        <w:rPr>
          <w:szCs w:val="24"/>
        </w:rPr>
      </w:pPr>
      <w:r>
        <w:rPr>
          <w:szCs w:val="24"/>
        </w:rPr>
        <w:t>Vitamin D level</w:t>
      </w:r>
    </w:p>
    <w:p w:rsidR="00084993" w:rsidRDefault="00084993" w:rsidP="00084993">
      <w:pPr>
        <w:pStyle w:val="ListParagraph"/>
        <w:widowControl/>
        <w:numPr>
          <w:ilvl w:val="0"/>
          <w:numId w:val="2"/>
        </w:numPr>
        <w:spacing w:after="200" w:line="276" w:lineRule="auto"/>
        <w:contextualSpacing/>
        <w:rPr>
          <w:szCs w:val="24"/>
        </w:rPr>
      </w:pPr>
      <w:r>
        <w:rPr>
          <w:szCs w:val="24"/>
        </w:rPr>
        <w:t>TFT</w:t>
      </w:r>
    </w:p>
    <w:p w:rsidR="00084993" w:rsidRDefault="00084993" w:rsidP="00084993">
      <w:pPr>
        <w:pStyle w:val="ListParagraph"/>
        <w:widowControl/>
        <w:numPr>
          <w:ilvl w:val="0"/>
          <w:numId w:val="2"/>
        </w:numPr>
        <w:spacing w:after="200" w:line="276" w:lineRule="auto"/>
        <w:contextualSpacing/>
        <w:rPr>
          <w:szCs w:val="24"/>
        </w:rPr>
      </w:pPr>
      <w:r>
        <w:rPr>
          <w:szCs w:val="24"/>
        </w:rPr>
        <w:t>ECG</w:t>
      </w:r>
    </w:p>
    <w:p w:rsidR="00084993" w:rsidRDefault="00084993" w:rsidP="00084993">
      <w:pPr>
        <w:pStyle w:val="ListParagraph"/>
        <w:widowControl/>
        <w:numPr>
          <w:ilvl w:val="0"/>
          <w:numId w:val="2"/>
        </w:numPr>
        <w:spacing w:after="200" w:line="276" w:lineRule="auto"/>
        <w:contextualSpacing/>
        <w:rPr>
          <w:szCs w:val="24"/>
        </w:rPr>
      </w:pPr>
      <w:r>
        <w:rPr>
          <w:szCs w:val="24"/>
        </w:rPr>
        <w:t>Urinalysis – consider pregnancy test if amennorhoeic (with patient’s consent)</w:t>
      </w:r>
    </w:p>
    <w:p w:rsidR="00084993" w:rsidRDefault="00084993" w:rsidP="00084993">
      <w:pPr>
        <w:rPr>
          <w:szCs w:val="24"/>
        </w:rPr>
      </w:pPr>
    </w:p>
    <w:p w:rsidR="00084993" w:rsidRDefault="00084993" w:rsidP="00084993">
      <w:pPr>
        <w:rPr>
          <w:b/>
          <w:szCs w:val="24"/>
        </w:rPr>
      </w:pPr>
      <w:r>
        <w:rPr>
          <w:b/>
          <w:szCs w:val="24"/>
        </w:rPr>
        <w:t>Management</w:t>
      </w:r>
    </w:p>
    <w:p w:rsidR="00084993" w:rsidRDefault="00084993" w:rsidP="00084993">
      <w:pPr>
        <w:rPr>
          <w:b/>
          <w:szCs w:val="24"/>
        </w:rPr>
      </w:pPr>
    </w:p>
    <w:p w:rsidR="00084993" w:rsidRDefault="00084993" w:rsidP="00084993">
      <w:pPr>
        <w:rPr>
          <w:szCs w:val="24"/>
        </w:rPr>
      </w:pPr>
      <w:r>
        <w:rPr>
          <w:szCs w:val="24"/>
        </w:rPr>
        <w:t>Refer to shared care protocol for further information and referral form to CAMHS</w:t>
      </w:r>
    </w:p>
    <w:p w:rsidR="00084993" w:rsidRDefault="00084993" w:rsidP="00084993">
      <w:pPr>
        <w:rPr>
          <w:color w:val="1F497D"/>
        </w:rPr>
      </w:pPr>
      <w:hyperlink r:id="rId6" w:history="1">
        <w:r>
          <w:rPr>
            <w:rStyle w:val="Hyperlink"/>
          </w:rPr>
          <w:t>http://howis.wales.nhs.uk/sitesplus/866/page/48555</w:t>
        </w:r>
      </w:hyperlink>
    </w:p>
    <w:p w:rsidR="00084993" w:rsidRDefault="00084993" w:rsidP="00084993">
      <w:pPr>
        <w:rPr>
          <w:color w:val="1F497D"/>
        </w:rPr>
      </w:pPr>
    </w:p>
    <w:p w:rsidR="00084993" w:rsidRDefault="00084993" w:rsidP="00084993">
      <w:pPr>
        <w:rPr>
          <w:szCs w:val="24"/>
        </w:rPr>
      </w:pPr>
      <w:r>
        <w:rPr>
          <w:szCs w:val="24"/>
        </w:rPr>
        <w:t>The need for admission to the paediatric ward should be based on history, examination and use of the Junior MARSIPAN risk assessment framework. No one factor predicts risk better than others. Admission should be considered for any young person with ‘red’ alerts on the assessment framework, but may also be needed for those with lower levels of risk depending on the circumstances.</w:t>
      </w:r>
    </w:p>
    <w:p w:rsidR="00084993" w:rsidRDefault="00084993" w:rsidP="00084993">
      <w:pPr>
        <w:rPr>
          <w:szCs w:val="24"/>
        </w:rPr>
      </w:pPr>
    </w:p>
    <w:p w:rsidR="00084993" w:rsidRDefault="00084993" w:rsidP="00084993">
      <w:pPr>
        <w:rPr>
          <w:b/>
          <w:szCs w:val="24"/>
        </w:rPr>
      </w:pPr>
      <w:r>
        <w:rPr>
          <w:b/>
          <w:szCs w:val="24"/>
        </w:rPr>
        <w:t>Do not discharge home any young person with ‘red’ alerts on the assessment framework without discussing the patient beforehand with a senior paediatrician (specialty trainee ST4 or above, or a consultant).</w:t>
      </w:r>
    </w:p>
    <w:p w:rsidR="00084993" w:rsidRDefault="00084993" w:rsidP="00084993">
      <w:pPr>
        <w:rPr>
          <w:b/>
          <w:szCs w:val="24"/>
        </w:rPr>
      </w:pPr>
    </w:p>
    <w:p w:rsidR="00084993" w:rsidRDefault="00084993" w:rsidP="00084993">
      <w:pPr>
        <w:rPr>
          <w:szCs w:val="24"/>
        </w:rPr>
      </w:pPr>
      <w:r>
        <w:rPr>
          <w:szCs w:val="24"/>
        </w:rPr>
        <w:t>At RGH, please inform Dr Morgan’s secretary on extension 8811 if a child or young person is admitted with an eating disorder or potential eating disorder.</w:t>
      </w:r>
    </w:p>
    <w:p w:rsidR="00084993" w:rsidRDefault="00084993" w:rsidP="00084993">
      <w:pPr>
        <w:rPr>
          <w:szCs w:val="24"/>
        </w:rPr>
      </w:pPr>
      <w:r>
        <w:rPr>
          <w:szCs w:val="24"/>
        </w:rPr>
        <w:t xml:space="preserve">For GP referrals or new presentations referral to CAMHS should be made using relevant referral form (available on shared care protocol) </w:t>
      </w:r>
    </w:p>
    <w:p w:rsidR="00084993" w:rsidRDefault="00084993" w:rsidP="00084993">
      <w:pPr>
        <w:rPr>
          <w:szCs w:val="24"/>
        </w:rPr>
      </w:pPr>
    </w:p>
    <w:p w:rsidR="00084993" w:rsidRDefault="00084993" w:rsidP="00084993">
      <w:pPr>
        <w:rPr>
          <w:szCs w:val="24"/>
        </w:rPr>
      </w:pPr>
      <w:r>
        <w:rPr>
          <w:szCs w:val="24"/>
        </w:rPr>
        <w:t>Inform paediatric dieticians of admission</w:t>
      </w:r>
    </w:p>
    <w:p w:rsidR="00084993" w:rsidRDefault="00084993" w:rsidP="00084993">
      <w:pPr>
        <w:rPr>
          <w:szCs w:val="24"/>
        </w:rPr>
      </w:pPr>
      <w:r>
        <w:rPr>
          <w:szCs w:val="24"/>
        </w:rPr>
        <w:t xml:space="preserve">Commence multivitamin supplement egg. Forceval 1 tablet daily </w:t>
      </w:r>
    </w:p>
    <w:p w:rsidR="00084993" w:rsidRDefault="00084993" w:rsidP="00084993">
      <w:pPr>
        <w:rPr>
          <w:szCs w:val="24"/>
        </w:rPr>
      </w:pPr>
      <w:r>
        <w:rPr>
          <w:szCs w:val="24"/>
        </w:rPr>
        <w:t>All young people admitted for re-feeding should be commenced on oral phosphate supplements, even if baseline phosphate level is normal.                                                                                                                                                  Please prescribe Phosphate Sandoz (each tablet contains 16.1mmol of phosphate) 1 tablet twice daily for first 5 days.</w:t>
      </w:r>
    </w:p>
    <w:p w:rsidR="00084993" w:rsidRDefault="00084993" w:rsidP="00084993">
      <w:pPr>
        <w:rPr>
          <w:szCs w:val="24"/>
        </w:rPr>
      </w:pPr>
    </w:p>
    <w:p w:rsidR="00084993" w:rsidRDefault="00084993" w:rsidP="00084993">
      <w:pPr>
        <w:rPr>
          <w:b/>
          <w:szCs w:val="24"/>
        </w:rPr>
      </w:pPr>
      <w:r>
        <w:rPr>
          <w:b/>
          <w:szCs w:val="24"/>
        </w:rPr>
        <w:t>NB. This dose may need to be increased if baseline phosphate low or phosphate level drops on re-feeding.</w:t>
      </w:r>
    </w:p>
    <w:p w:rsidR="00084993" w:rsidRDefault="00084993" w:rsidP="00084993">
      <w:pPr>
        <w:rPr>
          <w:b/>
          <w:szCs w:val="24"/>
        </w:rPr>
      </w:pPr>
    </w:p>
    <w:p w:rsidR="00084993" w:rsidRDefault="00084993" w:rsidP="00084993">
      <w:pPr>
        <w:rPr>
          <w:szCs w:val="24"/>
        </w:rPr>
      </w:pPr>
      <w:r>
        <w:rPr>
          <w:szCs w:val="24"/>
        </w:rPr>
        <w:t>Daily bloods for at least first 5 days of re-feeding, to include U&amp;E, bone profile, magnesium</w:t>
      </w:r>
    </w:p>
    <w:p w:rsidR="00084993" w:rsidRDefault="00084993" w:rsidP="00084993">
      <w:pPr>
        <w:rPr>
          <w:b/>
          <w:szCs w:val="24"/>
        </w:rPr>
      </w:pPr>
    </w:p>
    <w:p w:rsidR="00084993" w:rsidRPr="00570EA1" w:rsidRDefault="00084993" w:rsidP="00084993">
      <w:pPr>
        <w:rPr>
          <w:rFonts w:cs="Arial"/>
          <w:b/>
          <w:szCs w:val="24"/>
        </w:rPr>
      </w:pPr>
      <w:r w:rsidRPr="00570EA1">
        <w:rPr>
          <w:rFonts w:cs="Arial"/>
          <w:b/>
          <w:szCs w:val="24"/>
        </w:rPr>
        <w:lastRenderedPageBreak/>
        <w:t>Management of other electrolyte abnormalities</w:t>
      </w:r>
    </w:p>
    <w:p w:rsidR="00084993" w:rsidRPr="00570EA1" w:rsidRDefault="00084993" w:rsidP="00084993">
      <w:pPr>
        <w:rPr>
          <w:rFonts w:cs="Arial"/>
          <w:szCs w:val="24"/>
        </w:rPr>
      </w:pPr>
      <w:r w:rsidRPr="00570EA1">
        <w:rPr>
          <w:rFonts w:cs="Arial"/>
          <w:szCs w:val="24"/>
        </w:rPr>
        <w:t>1.</w:t>
      </w:r>
      <w:r w:rsidRPr="00570EA1">
        <w:rPr>
          <w:rFonts w:cs="Arial"/>
          <w:szCs w:val="24"/>
        </w:rPr>
        <w:tab/>
        <w:t>Hypokalaemia –    If K &lt;3.5mmol/l give Sando K (each tablet contains 12mmols of potassium) 2-4 tablets daily</w:t>
      </w:r>
    </w:p>
    <w:p w:rsidR="00084993" w:rsidRPr="00570EA1" w:rsidRDefault="00084993" w:rsidP="00084993">
      <w:pPr>
        <w:pStyle w:val="ListParagraph"/>
        <w:rPr>
          <w:rFonts w:cs="Arial"/>
          <w:szCs w:val="24"/>
        </w:rPr>
      </w:pPr>
      <w:r w:rsidRPr="00570EA1">
        <w:rPr>
          <w:rFonts w:cs="Arial"/>
          <w:szCs w:val="24"/>
        </w:rPr>
        <w:t xml:space="preserve">- If K &lt; 3.0mmol/l consider need for intravenous KCl added to intravenous fluids (DO NOT EXCEED 0.4mmol/kg/hour). Admit to HDU, ECG monitoring </w:t>
      </w:r>
    </w:p>
    <w:p w:rsidR="00084993" w:rsidRPr="00570EA1" w:rsidRDefault="00084993" w:rsidP="00084993">
      <w:pPr>
        <w:rPr>
          <w:rFonts w:cs="Arial"/>
          <w:szCs w:val="24"/>
        </w:rPr>
      </w:pPr>
      <w:r w:rsidRPr="00570EA1">
        <w:rPr>
          <w:rFonts w:cs="Arial"/>
          <w:szCs w:val="24"/>
        </w:rPr>
        <w:t>2.</w:t>
      </w:r>
      <w:r w:rsidRPr="00570EA1">
        <w:rPr>
          <w:rFonts w:cs="Arial"/>
          <w:szCs w:val="24"/>
        </w:rPr>
        <w:tab/>
        <w:t>Hypomagnesaemia  (serum Mg &lt;0.6mmol/L) Correct with 0.2ml/kg 50% Magnesium sulphate (max 10ml) in 250ml 0.9% saline over 4 hours. Admit to HDU. Must monitor ECG &amp; blood pressure.</w:t>
      </w:r>
    </w:p>
    <w:p w:rsidR="00084993" w:rsidRPr="00570EA1" w:rsidRDefault="00084993" w:rsidP="00084993">
      <w:pPr>
        <w:pStyle w:val="Default"/>
      </w:pPr>
      <w:r w:rsidRPr="00570EA1">
        <w:t>3.</w:t>
      </w:r>
      <w:r w:rsidRPr="00570EA1">
        <w:tab/>
        <w:t xml:space="preserve">Hypoglycaemia (glucose &lt;2.5mmol/L). Encourage sugary drink or consider use of hypostop. Give 2mls/kg 10% glucose intravenously over at least over 5 minutes (Guys and St Thomas Paediatric Formulary) if altered conscious level or seizures, followed by glucose infusion of 0.1ml/kg/minute. Measure glucose concentration by Dextrostix after 4-5 minutes and adjust glucose infusion to maintain the blood glucose at 5-8 mmol/L and no higher. </w:t>
      </w:r>
    </w:p>
    <w:p w:rsidR="00084993" w:rsidRPr="00E4113E" w:rsidRDefault="00084993" w:rsidP="00084993">
      <w:pPr>
        <w:pStyle w:val="Default"/>
        <w:rPr>
          <w:rFonts w:ascii="Calibri" w:hAnsi="Calibri"/>
          <w:sz w:val="23"/>
          <w:szCs w:val="23"/>
        </w:rPr>
      </w:pPr>
    </w:p>
    <w:p w:rsidR="00084993" w:rsidRDefault="00084993" w:rsidP="00084993">
      <w:pPr>
        <w:rPr>
          <w:szCs w:val="24"/>
        </w:rPr>
      </w:pPr>
      <w:r w:rsidRPr="00E4113E">
        <w:rPr>
          <w:rFonts w:ascii="Calibri" w:hAnsi="Calibri"/>
          <w:szCs w:val="24"/>
        </w:rPr>
        <w:t xml:space="preserve"> </w:t>
      </w:r>
      <w:r>
        <w:rPr>
          <w:szCs w:val="24"/>
        </w:rPr>
        <w:t>4.</w:t>
      </w:r>
      <w:r>
        <w:rPr>
          <w:szCs w:val="24"/>
        </w:rPr>
        <w:tab/>
        <w:t>Hypophosphataemia (phosphate &lt;0.32mmol/L). Admit to HDU. ECG &amp; blood pressure monitoring. Use intravenous potassium dihydrogen phosphate (0.08 - 0.16 mmol/kg diluted appropriately over 6 hours). For peripheral intravenous administration the concentration of potassium should not exceed 40mmol/L (BNFC 2013/14).</w:t>
      </w:r>
    </w:p>
    <w:p w:rsidR="00084993" w:rsidRDefault="00084993" w:rsidP="00084993">
      <w:pPr>
        <w:rPr>
          <w:b/>
          <w:szCs w:val="24"/>
        </w:rPr>
      </w:pPr>
    </w:p>
    <w:p w:rsidR="00084993" w:rsidRDefault="00084993" w:rsidP="00084993">
      <w:pPr>
        <w:rPr>
          <w:b/>
          <w:szCs w:val="24"/>
        </w:rPr>
      </w:pPr>
      <w:r>
        <w:rPr>
          <w:b/>
          <w:szCs w:val="24"/>
        </w:rPr>
        <w:t>Refeeding Syndrome</w:t>
      </w:r>
    </w:p>
    <w:p w:rsidR="00084993" w:rsidRDefault="00084993" w:rsidP="00084993">
      <w:pPr>
        <w:rPr>
          <w:szCs w:val="24"/>
        </w:rPr>
      </w:pPr>
      <w:r>
        <w:rPr>
          <w:szCs w:val="24"/>
        </w:rPr>
        <w:t>Re-introduction of nutrition to severely malnourished individuals can precipitate refeeding syndrome which may result in cardiac failure and death. The key biochemical abnormality is hypophosphataemia, due to total body phosphate depletion and a shift of extracellar to intracellular phosphate when the body changes from a catabolic state to anabolic. The risk is greatest in the initial stages of refeeding (first week). The incidence increases with decreasing BMI and if weight loss is rapid.</w:t>
      </w:r>
    </w:p>
    <w:p w:rsidR="00084993" w:rsidRDefault="00084993" w:rsidP="00084993">
      <w:pPr>
        <w:rPr>
          <w:szCs w:val="24"/>
        </w:rPr>
      </w:pPr>
      <w:r>
        <w:rPr>
          <w:szCs w:val="24"/>
        </w:rPr>
        <w:t>Features of the syndrome include:</w:t>
      </w:r>
    </w:p>
    <w:p w:rsidR="00084993" w:rsidRDefault="00084993" w:rsidP="00084993">
      <w:pPr>
        <w:pStyle w:val="ListParagraph"/>
        <w:widowControl/>
        <w:numPr>
          <w:ilvl w:val="0"/>
          <w:numId w:val="3"/>
        </w:numPr>
        <w:spacing w:after="200" w:line="276" w:lineRule="auto"/>
        <w:contextualSpacing/>
        <w:rPr>
          <w:szCs w:val="24"/>
        </w:rPr>
      </w:pPr>
      <w:r>
        <w:rPr>
          <w:szCs w:val="24"/>
        </w:rPr>
        <w:t>Delirium with visual and auditory hallucinations</w:t>
      </w:r>
    </w:p>
    <w:p w:rsidR="00084993" w:rsidRDefault="00084993" w:rsidP="00084993">
      <w:pPr>
        <w:pStyle w:val="ListParagraph"/>
        <w:widowControl/>
        <w:numPr>
          <w:ilvl w:val="0"/>
          <w:numId w:val="3"/>
        </w:numPr>
        <w:spacing w:after="200" w:line="276" w:lineRule="auto"/>
        <w:contextualSpacing/>
        <w:rPr>
          <w:szCs w:val="24"/>
        </w:rPr>
      </w:pPr>
      <w:r>
        <w:rPr>
          <w:szCs w:val="24"/>
        </w:rPr>
        <w:t>Respiratory compromise (dyspnoea, tachypnoea)</w:t>
      </w:r>
    </w:p>
    <w:p w:rsidR="00084993" w:rsidRDefault="00084993" w:rsidP="00084993">
      <w:pPr>
        <w:pStyle w:val="ListParagraph"/>
        <w:widowControl/>
        <w:numPr>
          <w:ilvl w:val="0"/>
          <w:numId w:val="3"/>
        </w:numPr>
        <w:spacing w:after="200" w:line="276" w:lineRule="auto"/>
        <w:contextualSpacing/>
        <w:rPr>
          <w:szCs w:val="24"/>
        </w:rPr>
      </w:pPr>
      <w:r>
        <w:rPr>
          <w:szCs w:val="24"/>
        </w:rPr>
        <w:t>Generalised weakness and fatigue</w:t>
      </w:r>
    </w:p>
    <w:p w:rsidR="00084993" w:rsidRDefault="00084993" w:rsidP="00084993">
      <w:pPr>
        <w:pStyle w:val="ListParagraph"/>
        <w:widowControl/>
        <w:numPr>
          <w:ilvl w:val="0"/>
          <w:numId w:val="3"/>
        </w:numPr>
        <w:spacing w:after="200" w:line="276" w:lineRule="auto"/>
        <w:contextualSpacing/>
        <w:rPr>
          <w:szCs w:val="24"/>
        </w:rPr>
      </w:pPr>
      <w:r>
        <w:rPr>
          <w:szCs w:val="24"/>
        </w:rPr>
        <w:t>Paraesthesia</w:t>
      </w:r>
    </w:p>
    <w:p w:rsidR="00084993" w:rsidRDefault="00084993" w:rsidP="00084993">
      <w:pPr>
        <w:pStyle w:val="ListParagraph"/>
        <w:widowControl/>
        <w:numPr>
          <w:ilvl w:val="0"/>
          <w:numId w:val="3"/>
        </w:numPr>
        <w:spacing w:after="200" w:line="276" w:lineRule="auto"/>
        <w:contextualSpacing/>
        <w:rPr>
          <w:szCs w:val="24"/>
        </w:rPr>
      </w:pPr>
      <w:r>
        <w:rPr>
          <w:szCs w:val="24"/>
        </w:rPr>
        <w:t>Signs of fluid overload e.g. peripheral oedema, cardiac failure</w:t>
      </w:r>
    </w:p>
    <w:p w:rsidR="00084993" w:rsidRDefault="00084993" w:rsidP="00084993">
      <w:pPr>
        <w:pStyle w:val="ListParagraph"/>
        <w:widowControl/>
        <w:numPr>
          <w:ilvl w:val="0"/>
          <w:numId w:val="3"/>
        </w:numPr>
        <w:spacing w:after="200" w:line="276" w:lineRule="auto"/>
        <w:contextualSpacing/>
        <w:rPr>
          <w:szCs w:val="24"/>
        </w:rPr>
      </w:pPr>
      <w:r>
        <w:rPr>
          <w:szCs w:val="24"/>
        </w:rPr>
        <w:t>Diarrhoea</w:t>
      </w:r>
    </w:p>
    <w:p w:rsidR="00084993" w:rsidRDefault="00084993" w:rsidP="00084993">
      <w:pPr>
        <w:pStyle w:val="ListParagraph"/>
        <w:widowControl/>
        <w:numPr>
          <w:ilvl w:val="0"/>
          <w:numId w:val="3"/>
        </w:numPr>
        <w:spacing w:after="200" w:line="276" w:lineRule="auto"/>
        <w:contextualSpacing/>
        <w:rPr>
          <w:szCs w:val="24"/>
        </w:rPr>
      </w:pPr>
      <w:r>
        <w:rPr>
          <w:szCs w:val="24"/>
        </w:rPr>
        <w:t>Seizures and reduced conscious level</w:t>
      </w:r>
    </w:p>
    <w:p w:rsidR="00084993" w:rsidRDefault="00084993" w:rsidP="00084993">
      <w:pPr>
        <w:pStyle w:val="ListParagraph"/>
        <w:widowControl/>
        <w:numPr>
          <w:ilvl w:val="0"/>
          <w:numId w:val="3"/>
        </w:numPr>
        <w:spacing w:after="200" w:line="276" w:lineRule="auto"/>
        <w:contextualSpacing/>
        <w:rPr>
          <w:szCs w:val="24"/>
        </w:rPr>
      </w:pPr>
      <w:r>
        <w:rPr>
          <w:szCs w:val="24"/>
        </w:rPr>
        <w:t>Electrolyte imbalances</w:t>
      </w:r>
    </w:p>
    <w:p w:rsidR="00084993" w:rsidRDefault="00084993" w:rsidP="00084993">
      <w:pPr>
        <w:rPr>
          <w:szCs w:val="24"/>
        </w:rPr>
      </w:pPr>
      <w:r>
        <w:rPr>
          <w:szCs w:val="24"/>
        </w:rPr>
        <w:t>Preventing refeeding syndrome</w:t>
      </w:r>
    </w:p>
    <w:p w:rsidR="00084993" w:rsidRDefault="00084993" w:rsidP="00084993">
      <w:pPr>
        <w:pStyle w:val="ListParagraph"/>
        <w:widowControl/>
        <w:numPr>
          <w:ilvl w:val="0"/>
          <w:numId w:val="4"/>
        </w:numPr>
        <w:spacing w:after="200" w:line="276" w:lineRule="auto"/>
        <w:contextualSpacing/>
        <w:rPr>
          <w:szCs w:val="24"/>
        </w:rPr>
      </w:pPr>
      <w:r>
        <w:rPr>
          <w:szCs w:val="24"/>
        </w:rPr>
        <w:t>Reintroduce nutrition gradually, as advised by dietician</w:t>
      </w:r>
    </w:p>
    <w:p w:rsidR="00084993" w:rsidRDefault="00084993" w:rsidP="00084993">
      <w:pPr>
        <w:pStyle w:val="ListParagraph"/>
        <w:widowControl/>
        <w:numPr>
          <w:ilvl w:val="0"/>
          <w:numId w:val="4"/>
        </w:numPr>
        <w:spacing w:after="200" w:line="276" w:lineRule="auto"/>
        <w:contextualSpacing/>
        <w:rPr>
          <w:szCs w:val="24"/>
        </w:rPr>
      </w:pPr>
      <w:r>
        <w:rPr>
          <w:szCs w:val="24"/>
        </w:rPr>
        <w:t>Correct dehydration – usually over 48 hours as too rapid correction can result in cardiac decompensation</w:t>
      </w:r>
    </w:p>
    <w:p w:rsidR="00084993" w:rsidRDefault="00084993" w:rsidP="00084993">
      <w:pPr>
        <w:pStyle w:val="ListParagraph"/>
        <w:widowControl/>
        <w:numPr>
          <w:ilvl w:val="0"/>
          <w:numId w:val="4"/>
        </w:numPr>
        <w:spacing w:after="200" w:line="276" w:lineRule="auto"/>
        <w:contextualSpacing/>
        <w:rPr>
          <w:szCs w:val="24"/>
        </w:rPr>
      </w:pPr>
      <w:r>
        <w:rPr>
          <w:szCs w:val="24"/>
        </w:rPr>
        <w:t>Daily electrolyte monitoring</w:t>
      </w:r>
    </w:p>
    <w:p w:rsidR="00084993" w:rsidRDefault="00084993" w:rsidP="00084993">
      <w:pPr>
        <w:pStyle w:val="ListParagraph"/>
        <w:widowControl/>
        <w:numPr>
          <w:ilvl w:val="0"/>
          <w:numId w:val="4"/>
        </w:numPr>
        <w:spacing w:after="200" w:line="276" w:lineRule="auto"/>
        <w:contextualSpacing/>
        <w:rPr>
          <w:szCs w:val="24"/>
        </w:rPr>
      </w:pPr>
      <w:r>
        <w:rPr>
          <w:szCs w:val="24"/>
        </w:rPr>
        <w:t xml:space="preserve">Prophylactic phosphate supplementation, as above </w:t>
      </w:r>
    </w:p>
    <w:p w:rsidR="00084993" w:rsidRDefault="00084993" w:rsidP="00084993">
      <w:pPr>
        <w:pStyle w:val="ListParagraph"/>
        <w:widowControl/>
        <w:numPr>
          <w:ilvl w:val="0"/>
          <w:numId w:val="4"/>
        </w:numPr>
        <w:spacing w:after="200" w:line="276" w:lineRule="auto"/>
        <w:contextualSpacing/>
        <w:rPr>
          <w:szCs w:val="24"/>
        </w:rPr>
      </w:pPr>
      <w:r>
        <w:rPr>
          <w:szCs w:val="24"/>
        </w:rPr>
        <w:t>Start any multivitamins and mineral supplementations before feeding begins (NICE CG9)</w:t>
      </w:r>
    </w:p>
    <w:p w:rsidR="00084993" w:rsidRDefault="00084993" w:rsidP="00084993">
      <w:pPr>
        <w:rPr>
          <w:szCs w:val="24"/>
        </w:rPr>
      </w:pPr>
      <w:r>
        <w:rPr>
          <w:szCs w:val="24"/>
        </w:rPr>
        <w:lastRenderedPageBreak/>
        <w:t>If signs of refeeding syndrome</w:t>
      </w:r>
    </w:p>
    <w:p w:rsidR="00084993" w:rsidRDefault="00084993" w:rsidP="00084993">
      <w:pPr>
        <w:pStyle w:val="ListParagraph"/>
        <w:widowControl/>
        <w:numPr>
          <w:ilvl w:val="0"/>
          <w:numId w:val="5"/>
        </w:numPr>
        <w:spacing w:after="200" w:line="276" w:lineRule="auto"/>
        <w:contextualSpacing/>
        <w:rPr>
          <w:szCs w:val="24"/>
        </w:rPr>
      </w:pPr>
      <w:r>
        <w:rPr>
          <w:szCs w:val="24"/>
        </w:rPr>
        <w:t>Seek advice from senior paediatrician</w:t>
      </w:r>
    </w:p>
    <w:p w:rsidR="00084993" w:rsidRDefault="00084993" w:rsidP="00084993">
      <w:pPr>
        <w:pStyle w:val="ListParagraph"/>
        <w:widowControl/>
        <w:numPr>
          <w:ilvl w:val="0"/>
          <w:numId w:val="5"/>
        </w:numPr>
        <w:spacing w:after="200" w:line="276" w:lineRule="auto"/>
        <w:contextualSpacing/>
        <w:rPr>
          <w:szCs w:val="24"/>
        </w:rPr>
      </w:pPr>
      <w:r>
        <w:rPr>
          <w:szCs w:val="24"/>
        </w:rPr>
        <w:t>Ensure regular monitoring of blood pressure, ECG, cardiac status, neurological observations, weight, fluid balance and hydration status</w:t>
      </w:r>
    </w:p>
    <w:p w:rsidR="00084993" w:rsidRDefault="00084993" w:rsidP="00084993">
      <w:pPr>
        <w:pStyle w:val="ListParagraph"/>
        <w:widowControl/>
        <w:numPr>
          <w:ilvl w:val="0"/>
          <w:numId w:val="5"/>
        </w:numPr>
        <w:spacing w:after="200" w:line="276" w:lineRule="auto"/>
        <w:contextualSpacing/>
        <w:rPr>
          <w:szCs w:val="24"/>
        </w:rPr>
      </w:pPr>
      <w:r>
        <w:rPr>
          <w:szCs w:val="24"/>
        </w:rPr>
        <w:t>Urgent correction of any electrolyte abnormalities</w:t>
      </w:r>
    </w:p>
    <w:p w:rsidR="00084993" w:rsidRDefault="00084993" w:rsidP="00084993">
      <w:pPr>
        <w:pStyle w:val="ListParagraph"/>
        <w:widowControl/>
        <w:numPr>
          <w:ilvl w:val="0"/>
          <w:numId w:val="5"/>
        </w:numPr>
        <w:spacing w:after="200" w:line="276" w:lineRule="auto"/>
        <w:contextualSpacing/>
        <w:rPr>
          <w:szCs w:val="24"/>
        </w:rPr>
      </w:pPr>
      <w:r>
        <w:rPr>
          <w:szCs w:val="24"/>
        </w:rPr>
        <w:t xml:space="preserve">Inform dietician – nutrition plan will need to be reviewed and may include reducing or stopping enteral feeds for a time. </w:t>
      </w:r>
    </w:p>
    <w:p w:rsidR="00084993" w:rsidRDefault="00084993" w:rsidP="00084993">
      <w:pPr>
        <w:rPr>
          <w:b/>
          <w:szCs w:val="24"/>
        </w:rPr>
      </w:pPr>
      <w:r>
        <w:rPr>
          <w:b/>
          <w:szCs w:val="24"/>
        </w:rPr>
        <w:t>Discharge/ Outpatient Management</w:t>
      </w:r>
    </w:p>
    <w:p w:rsidR="00084993" w:rsidRDefault="00084993" w:rsidP="00084993">
      <w:pPr>
        <w:rPr>
          <w:szCs w:val="24"/>
        </w:rPr>
      </w:pPr>
      <w:r>
        <w:rPr>
          <w:szCs w:val="24"/>
        </w:rPr>
        <w:t>Timing of discharge from the paediatric ward will be agreed at a multidisciplinary meeting between paediatrics and CAMHS. This will include whether ongoing paediatric follow up is required for monitoring of growth, pubertal development, bone health etc.</w:t>
      </w:r>
    </w:p>
    <w:p w:rsidR="00084993" w:rsidRDefault="00084993" w:rsidP="00084993">
      <w:pPr>
        <w:rPr>
          <w:b/>
          <w:szCs w:val="24"/>
        </w:rPr>
      </w:pPr>
    </w:p>
    <w:p w:rsidR="00084993" w:rsidRDefault="00084993" w:rsidP="00084993">
      <w:pPr>
        <w:rPr>
          <w:b/>
          <w:szCs w:val="24"/>
        </w:rPr>
      </w:pPr>
      <w:r>
        <w:rPr>
          <w:b/>
          <w:szCs w:val="24"/>
        </w:rPr>
        <w:t>References</w:t>
      </w:r>
    </w:p>
    <w:p w:rsidR="00084993" w:rsidRDefault="00084993" w:rsidP="00084993">
      <w:pPr>
        <w:rPr>
          <w:b/>
          <w:szCs w:val="24"/>
        </w:rPr>
      </w:pPr>
    </w:p>
    <w:p w:rsidR="00084993" w:rsidRPr="0086050D" w:rsidRDefault="00084993" w:rsidP="00084993">
      <w:pPr>
        <w:numPr>
          <w:ilvl w:val="0"/>
          <w:numId w:val="7"/>
        </w:numPr>
        <w:rPr>
          <w:sz w:val="22"/>
          <w:szCs w:val="22"/>
        </w:rPr>
      </w:pPr>
      <w:r w:rsidRPr="0086050D">
        <w:rPr>
          <w:sz w:val="22"/>
          <w:szCs w:val="22"/>
        </w:rPr>
        <w:t>Junior MARSIPAN: Management of Really Sick Patients under 18 with Anorexia Nervosa. Royal College of Psychiatrists CR 168. January 2012</w:t>
      </w:r>
    </w:p>
    <w:p w:rsidR="00084993" w:rsidRPr="0086050D" w:rsidRDefault="00084993" w:rsidP="00084993">
      <w:pPr>
        <w:numPr>
          <w:ilvl w:val="0"/>
          <w:numId w:val="7"/>
        </w:numPr>
        <w:rPr>
          <w:sz w:val="22"/>
          <w:szCs w:val="22"/>
        </w:rPr>
      </w:pPr>
      <w:r w:rsidRPr="0086050D">
        <w:rPr>
          <w:sz w:val="22"/>
          <w:szCs w:val="22"/>
        </w:rPr>
        <w:t>Medical management of acute severe anorexia nervosa. Norrington A, Stanley R, Tremlett M, Birrell G. Education and Practice, Archives of Disease in Childhood 2012;97(2):48-54</w:t>
      </w:r>
    </w:p>
    <w:p w:rsidR="00084993" w:rsidRPr="0086050D" w:rsidRDefault="00084993" w:rsidP="00084993">
      <w:pPr>
        <w:numPr>
          <w:ilvl w:val="0"/>
          <w:numId w:val="7"/>
        </w:numPr>
        <w:rPr>
          <w:sz w:val="22"/>
          <w:szCs w:val="22"/>
        </w:rPr>
      </w:pPr>
      <w:r w:rsidRPr="0086050D">
        <w:rPr>
          <w:sz w:val="22"/>
          <w:szCs w:val="22"/>
        </w:rPr>
        <w:t>Identification and Management of Eating Disorders in Children and Adolescents. Rosen DS. Pediatrics 2010;126:1240-1253</w:t>
      </w:r>
    </w:p>
    <w:p w:rsidR="00084993" w:rsidRPr="0086050D" w:rsidRDefault="00084993" w:rsidP="00084993">
      <w:pPr>
        <w:numPr>
          <w:ilvl w:val="0"/>
          <w:numId w:val="7"/>
        </w:numPr>
        <w:autoSpaceDE w:val="0"/>
        <w:autoSpaceDN w:val="0"/>
        <w:adjustRightInd w:val="0"/>
        <w:rPr>
          <w:sz w:val="22"/>
          <w:szCs w:val="22"/>
        </w:rPr>
      </w:pPr>
      <w:r w:rsidRPr="0086050D">
        <w:rPr>
          <w:rFonts w:cs="Frutiger-Bold"/>
          <w:color w:val="000000"/>
          <w:sz w:val="22"/>
          <w:szCs w:val="22"/>
        </w:rPr>
        <w:t xml:space="preserve">Eating disorders: Core interventions in the treatment and management of anorexia nervosa, bulimia nervosa and related eating disorders </w:t>
      </w:r>
      <w:r w:rsidRPr="0086050D">
        <w:rPr>
          <w:sz w:val="22"/>
          <w:szCs w:val="22"/>
        </w:rPr>
        <w:t>NICE clinical guideline 9. January 2004</w:t>
      </w:r>
    </w:p>
    <w:p w:rsidR="00084993" w:rsidRPr="0086050D" w:rsidRDefault="00084993" w:rsidP="00084993">
      <w:pPr>
        <w:autoSpaceDE w:val="0"/>
        <w:autoSpaceDN w:val="0"/>
        <w:adjustRightInd w:val="0"/>
        <w:rPr>
          <w:sz w:val="22"/>
          <w:szCs w:val="22"/>
        </w:rPr>
      </w:pPr>
    </w:p>
    <w:p w:rsidR="00084993" w:rsidRPr="0086050D" w:rsidRDefault="00084993" w:rsidP="00084993">
      <w:pPr>
        <w:pStyle w:val="Heading1"/>
        <w:numPr>
          <w:ilvl w:val="0"/>
          <w:numId w:val="7"/>
        </w:numPr>
        <w:ind w:right="19"/>
        <w:rPr>
          <w:rFonts w:cs="Arial"/>
          <w:b w:val="0"/>
          <w:sz w:val="22"/>
          <w:szCs w:val="22"/>
        </w:rPr>
      </w:pPr>
      <w:r w:rsidRPr="0086050D">
        <w:rPr>
          <w:rFonts w:cs="Arial"/>
          <w:b w:val="0"/>
          <w:sz w:val="22"/>
          <w:szCs w:val="22"/>
        </w:rPr>
        <w:t>Eating Disorders in Children and Young People: Early Recognition, Assessment and Initial Management. Nottingham University Hospitals NHS Trust Paediatric Clinical Guideline January 2007 Damian Wood. Downloaded from;</w:t>
      </w:r>
      <w:r w:rsidRPr="0086050D">
        <w:rPr>
          <w:rFonts w:cs="Arial"/>
          <w:sz w:val="22"/>
          <w:szCs w:val="22"/>
        </w:rPr>
        <w:t xml:space="preserve"> </w:t>
      </w:r>
      <w:r w:rsidRPr="0086050D">
        <w:rPr>
          <w:rFonts w:cs="Arial"/>
          <w:b w:val="0"/>
          <w:sz w:val="22"/>
          <w:szCs w:val="22"/>
        </w:rPr>
        <w:t xml:space="preserve">http://nottinghamchildhealth.org.uk/Guidelines/Adolescent/12.2%20Eating%20Disorders.doc  </w:t>
      </w:r>
    </w:p>
    <w:p w:rsidR="00084993" w:rsidRPr="0086050D" w:rsidRDefault="00084993" w:rsidP="00084993">
      <w:pPr>
        <w:rPr>
          <w:rFonts w:cs="Arial"/>
          <w:sz w:val="22"/>
          <w:szCs w:val="22"/>
          <w:lang w:val="en-US"/>
        </w:rPr>
      </w:pPr>
    </w:p>
    <w:p w:rsidR="00084993" w:rsidRDefault="00084993" w:rsidP="00084993">
      <w:pPr>
        <w:rPr>
          <w:lang w:val="en-US"/>
        </w:rPr>
      </w:pPr>
      <w:r>
        <w:rPr>
          <w:b/>
          <w:szCs w:val="24"/>
        </w:rPr>
        <w:t>Doses, dilutions and rates of administration checked in BNFC/Medusa IV guide/Guys and St Thomas Paediatric Formulary/UCL IV Handbook.</w:t>
      </w:r>
    </w:p>
    <w:p w:rsidR="00084993" w:rsidRDefault="00084993" w:rsidP="00084993">
      <w:pPr>
        <w:rPr>
          <w:lang w:val="en-US"/>
        </w:rPr>
      </w:pPr>
    </w:p>
    <w:p w:rsidR="00084993" w:rsidRPr="00FB262F" w:rsidRDefault="00084993" w:rsidP="00084993">
      <w:pPr>
        <w:rPr>
          <w:sz w:val="20"/>
          <w:lang w:val="en-US"/>
        </w:rPr>
      </w:pPr>
      <w:r w:rsidRPr="00FB262F">
        <w:rPr>
          <w:sz w:val="20"/>
          <w:lang w:val="en-US"/>
        </w:rPr>
        <w:t>Dr Nicola Morgan, Consultant Paediatrician</w:t>
      </w:r>
    </w:p>
    <w:p w:rsidR="00084993" w:rsidRPr="00FB262F" w:rsidRDefault="00084993" w:rsidP="00084993">
      <w:pPr>
        <w:rPr>
          <w:sz w:val="20"/>
          <w:lang w:val="en-US"/>
        </w:rPr>
      </w:pPr>
      <w:r w:rsidRPr="00FB262F">
        <w:rPr>
          <w:sz w:val="20"/>
          <w:lang w:val="en-US"/>
        </w:rPr>
        <w:t>Ceri Phillips, Paediatric Pharmacist</w:t>
      </w:r>
    </w:p>
    <w:p w:rsidR="00084993" w:rsidRPr="00FB262F" w:rsidRDefault="00084993" w:rsidP="00084993">
      <w:pPr>
        <w:rPr>
          <w:sz w:val="20"/>
        </w:rPr>
      </w:pPr>
      <w:r w:rsidRPr="00FB262F">
        <w:rPr>
          <w:sz w:val="20"/>
          <w:lang w:val="en-US"/>
        </w:rPr>
        <w:t>May 2014</w:t>
      </w:r>
      <w:bookmarkStart w:id="1" w:name="_GoBack"/>
      <w:bookmarkEnd w:id="1"/>
    </w:p>
    <w:sectPr w:rsidR="00084993" w:rsidRPr="00FB2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D74"/>
    <w:multiLevelType w:val="hybridMultilevel"/>
    <w:tmpl w:val="47ECAC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B4"/>
    <w:multiLevelType w:val="hybridMultilevel"/>
    <w:tmpl w:val="28F4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F6526"/>
    <w:multiLevelType w:val="hybridMultilevel"/>
    <w:tmpl w:val="44C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62940"/>
    <w:multiLevelType w:val="hybridMultilevel"/>
    <w:tmpl w:val="8C6CB2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54CF6"/>
    <w:multiLevelType w:val="hybridMultilevel"/>
    <w:tmpl w:val="781EAA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F0666"/>
    <w:multiLevelType w:val="hybridMultilevel"/>
    <w:tmpl w:val="6A6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409BB"/>
    <w:multiLevelType w:val="hybridMultilevel"/>
    <w:tmpl w:val="025C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A5A40"/>
    <w:multiLevelType w:val="hybridMultilevel"/>
    <w:tmpl w:val="39F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8534B"/>
    <w:multiLevelType w:val="hybridMultilevel"/>
    <w:tmpl w:val="79E82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E72927"/>
    <w:multiLevelType w:val="hybridMultilevel"/>
    <w:tmpl w:val="F942E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4E1D0D"/>
    <w:multiLevelType w:val="hybridMultilevel"/>
    <w:tmpl w:val="7040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34EBF"/>
    <w:multiLevelType w:val="hybridMultilevel"/>
    <w:tmpl w:val="680AC8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455B0A"/>
    <w:multiLevelType w:val="hybridMultilevel"/>
    <w:tmpl w:val="B11C2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84B76"/>
    <w:multiLevelType w:val="hybridMultilevel"/>
    <w:tmpl w:val="B9D6EA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10"/>
  </w:num>
  <w:num w:numId="7">
    <w:abstractNumId w:val="1"/>
  </w:num>
  <w:num w:numId="8">
    <w:abstractNumId w:val="0"/>
  </w:num>
  <w:num w:numId="9">
    <w:abstractNumId w:val="13"/>
  </w:num>
  <w:num w:numId="10">
    <w:abstractNumId w:val="8"/>
  </w:num>
  <w:num w:numId="11">
    <w:abstractNumId w:val="12"/>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93"/>
    <w:rsid w:val="00084993"/>
    <w:rsid w:val="00772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5:chartTrackingRefBased/>
  <w15:docId w15:val="{FDB2002A-73B3-45CB-9B74-BC2CE290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93"/>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084993"/>
    <w:pPr>
      <w:keepNext/>
      <w:spacing w:after="60"/>
      <w:outlineLvl w:val="0"/>
    </w:pPr>
    <w:rPr>
      <w:b/>
      <w:snapToGrid w:val="0"/>
      <w:kern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93"/>
    <w:rPr>
      <w:rFonts w:ascii="Arial" w:eastAsia="Times New Roman" w:hAnsi="Arial" w:cs="Times New Roman"/>
      <w:b/>
      <w:snapToGrid w:val="0"/>
      <w:kern w:val="28"/>
      <w:sz w:val="24"/>
      <w:szCs w:val="20"/>
      <w:lang w:val="x-none" w:eastAsia="x-none"/>
    </w:rPr>
  </w:style>
  <w:style w:type="character" w:styleId="Hyperlink">
    <w:name w:val="Hyperlink"/>
    <w:rsid w:val="00084993"/>
    <w:rPr>
      <w:color w:val="0000FF"/>
      <w:u w:val="single"/>
    </w:rPr>
  </w:style>
  <w:style w:type="paragraph" w:styleId="ListParagraph">
    <w:name w:val="List Paragraph"/>
    <w:basedOn w:val="Normal"/>
    <w:uiPriority w:val="34"/>
    <w:qFormat/>
    <w:rsid w:val="00084993"/>
    <w:pPr>
      <w:widowControl w:val="0"/>
      <w:ind w:left="720"/>
    </w:pPr>
    <w:rPr>
      <w:lang w:eastAsia="en-US"/>
    </w:rPr>
  </w:style>
  <w:style w:type="paragraph" w:customStyle="1" w:styleId="Default">
    <w:name w:val="Default"/>
    <w:rsid w:val="0008499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itation-abbreviation">
    <w:name w:val="citation-abbreviation"/>
    <w:basedOn w:val="DefaultParagraphFont"/>
    <w:rsid w:val="00084993"/>
  </w:style>
  <w:style w:type="character" w:customStyle="1" w:styleId="citation-publication-date">
    <w:name w:val="citation-publication-date"/>
    <w:basedOn w:val="DefaultParagraphFont"/>
    <w:rsid w:val="00084993"/>
  </w:style>
  <w:style w:type="character" w:customStyle="1" w:styleId="citation-volume">
    <w:name w:val="citation-volume"/>
    <w:basedOn w:val="DefaultParagraphFont"/>
    <w:rsid w:val="00084993"/>
  </w:style>
  <w:style w:type="character" w:customStyle="1" w:styleId="citation-flpages">
    <w:name w:val="citation-flpages"/>
    <w:basedOn w:val="DefaultParagraphFont"/>
    <w:rsid w:val="0008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wis.wales.nhs.uk/sitesplus/866/page/485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dc:description/>
  <cp:lastModifiedBy>Marion Schmidt (Aneurin Bevan UHB - Paediatrics)</cp:lastModifiedBy>
  <cp:revision>1</cp:revision>
  <dcterms:created xsi:type="dcterms:W3CDTF">2020-08-12T15:47:00Z</dcterms:created>
  <dcterms:modified xsi:type="dcterms:W3CDTF">2020-08-12T15:50:00Z</dcterms:modified>
</cp:coreProperties>
</file>